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3869.xml.htm"/>
      <w:bookmarkStart w:id="1" w:name="kswkform4_17855338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Hussey C.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WEST VAN BUREN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Huron Consulting Group Inc.</w:t>
              </w:r>
            </w:hyperlink>
            <w:r>
              <w:rPr/>
              <w:t xml:space="preserve"> [ </w:t>
            </w:r>
            <w:r>
              <w:rPr>
                <w:rFonts w:ascii="Times;serif" w:hAnsi="Times;serif"/>
                <w:color w:val="0000FF"/>
                <w:sz w:val="24"/>
                <w:shd w:fill="FFFFFF" w:val="clear"/>
              </w:rPr>
              <w:t>HURN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4,972</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160.28</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93,499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1,142</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161.42</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92,357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2,507</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162.56</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2,168</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163.49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1,373</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164.49</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86,309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165.22</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85,509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884</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166.32</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84,625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497</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168.24</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3,060</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169.35</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81,068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5,613</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170.15</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867</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171.17</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74,588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172.51</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74,399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of a total of 24,072 shares occurred automatically pursuant to a Rule 10b5-1 trading plan adopted by the reporting person on October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prices reported in Column 4 are weighted average prices. These shares were sold in multiple transactions at ranges of: $160.00 - $160.94 for 4,972 shares; $161.00 - $161.99 for 1,142 shares; $162.00 - $162.93 for 2,507 shares; $163.00 - $163.99 for 2,168 shares; $164.00 - $164.99 for 1,373 shares; $165.00 - $165.51 for 800 shares; $166.00 - $166.79 for 884 shares; $167.69 - $168.61 for 497 shares; $168.77 - $169.71 for 3,060 shares; $169.80 - $170.57 for 5,613 shares; $170.92 - $171.57 for 867 shares; and $172.00 - $172.88 for 189 shares. The undersigned undertakes to provide Huron Consulting Group Inc. ("Huron"), any security holder of Huron or the staff of the Securities and Exchange Commission, upon request, full information regarding the number of shares sold at each separate price within the ranges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Hope Katz, Attorney-in-fact for C. Mark Hussey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6242" TargetMode="External"/><Relationship Id="rId5" Type="http://schemas.openxmlformats.org/officeDocument/2006/relationships/hyperlink" Target="http://www.sec.gov/cgi-bin/browse-edgar?action=getcompany&amp;CIK=0001289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4464</Characters>
  <CharactersWithSpaces>5147</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