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September 30, 2025</w:t>
      </w:r>
    </w:p>
    <w:p>
      <w:pPr>
        <w:pStyle w:val="TextBody"/>
        <w:bidi w:val="0"/>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38"/>
        <w:gridCol w:w="999"/>
        <w:gridCol w:w="1012"/>
        <w:gridCol w:w="449"/>
        <w:gridCol w:w="449"/>
        <w:gridCol w:w="45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Trading Symbol</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bidi w:val="0"/>
        <w:spacing w:lineRule="auto" w:line="288" w:before="0" w:after="0"/>
        <w:ind w:left="0" w:right="0" w:hanging="360"/>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As of October 21, 2025, 17,241,468 shares of the registrant’s common stock, par value $0.01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60" w:type="dxa"/>
        <w:jc w:val="center"/>
        <w:tblInd w:w="0" w:type="dxa"/>
        <w:tblLayout w:type="fixed"/>
        <w:tblCellMar>
          <w:top w:w="28" w:type="dxa"/>
          <w:left w:w="28" w:type="dxa"/>
          <w:bottom w:w="28" w:type="dxa"/>
          <w:right w:w="28" w:type="dxa"/>
        </w:tblCellMar>
      </w:tblPr>
      <w:tblGrid>
        <w:gridCol w:w="786"/>
        <w:gridCol w:w="693"/>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bidi w:val="0"/>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Layout w:type="fixed"/>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6">
              <w:r>
                <w:rPr>
                  <w:rStyle w:val="InternetLink"/>
                  <w:rFonts w:ascii="Arial Narrow;sans-serif" w:hAnsi="Arial Narrow;sans-serif"/>
                  <w:b w:val="false"/>
                  <w:color w:val="0000FF"/>
                  <w:sz w:val="20"/>
                  <w:u w:val="single"/>
                </w:rPr>
                <w:t>Consolidated Balance Sheets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6">
              <w:r>
                <w:rPr>
                  <w:rStyle w:val="InternetLink"/>
                  <w:rFonts w:ascii="Arial Narrow;sans-serif" w:hAnsi="Arial Narrow;sans-serif"/>
                  <w:b w:val="false"/>
                  <w:color w:val="0000FF"/>
                  <w:sz w:val="20"/>
                  <w:u w:val="single"/>
                </w:rPr>
                <w:t>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9">
              <w:r>
                <w:rPr>
                  <w:rStyle w:val="InternetLink"/>
                  <w:rFonts w:ascii="Arial Narrow;sans-serif" w:hAnsi="Arial Narrow;sans-serif"/>
                  <w:b w:val="false"/>
                  <w:color w:val="0000FF"/>
                  <w:sz w:val="20"/>
                  <w:u w:val="single"/>
                </w:rPr>
                <w:t>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22">
              <w:r>
                <w:rPr>
                  <w:rStyle w:val="InternetLink"/>
                  <w:rFonts w:ascii="Arial Narrow;sans-serif" w:hAnsi="Arial Narrow;sans-serif"/>
                  <w:b w:val="false"/>
                  <w:color w:val="0000FF"/>
                  <w:sz w:val="20"/>
                  <w:u w:val="single"/>
                </w:rPr>
                <w:t>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25">
              <w:r>
                <w:rPr>
                  <w:rStyle w:val="InternetLink"/>
                  <w:rFonts w:ascii="Arial Narrow;sans-serif" w:hAnsi="Arial Narrow;sans-serif"/>
                  <w:b w:val="false"/>
                  <w:color w:val="0000FF"/>
                  <w:sz w:val="20"/>
                  <w:u w:val="single"/>
                </w:rPr>
                <w:t>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28">
              <w:r>
                <w:rPr>
                  <w:rStyle w:val="InternetLink"/>
                  <w:rFonts w:ascii="Arial Narrow;sans-serif" w:hAnsi="Arial Narrow;sans-serif"/>
                  <w:b w:val="false"/>
                  <w:color w:val="0000FF"/>
                  <w:sz w:val="20"/>
                  <w:u w:val="single"/>
                </w:rPr>
                <w:t>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82">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82">
              <w:r>
                <w:rPr>
                  <w:rStyle w:val="InternetLink"/>
                  <w:rFonts w:ascii="Arial Narrow;sans-serif" w:hAnsi="Arial Narrow;sans-serif"/>
                  <w:b w:val="false"/>
                  <w:color w:val="0000FF"/>
                  <w:sz w:val="20"/>
                  <w:u w:val="single"/>
                </w:rPr>
                <w:t>25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18">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18">
              <w:r>
                <w:rPr>
                  <w:rStyle w:val="InternetLink"/>
                  <w:rFonts w:ascii="Arial Narrow;sans-serif" w:hAnsi="Arial Narrow;sans-serif"/>
                  <w:b w:val="false"/>
                  <w:color w:val="0000FF"/>
                  <w:sz w:val="20"/>
                  <w:u w:val="single"/>
                </w:rPr>
                <w:t>46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21">
              <w:r>
                <w:rPr>
                  <w:rStyle w:val="InternetLink"/>
                  <w:rFonts w:ascii="Arial Narrow;sans-serif" w:hAnsi="Arial Narrow;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21">
              <w:r>
                <w:rPr>
                  <w:rStyle w:val="InternetLink"/>
                  <w:rFonts w:ascii="Arial Narrow;sans-serif" w:hAnsi="Arial Narrow;sans-serif"/>
                  <w:b w:val="false"/>
                  <w:color w:val="0000FF"/>
                  <w:sz w:val="20"/>
                  <w:u w:val="single"/>
                </w:rPr>
                <w:t>47</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24">
              <w:r>
                <w:rPr>
                  <w:rStyle w:val="InternetLink"/>
                  <w:rFonts w:ascii="Arial Narrow;sans-serif" w:hAnsi="Arial Narrow;sans-serif"/>
                  <w:b/>
                  <w:color w:val="0000FF"/>
                  <w:sz w:val="20"/>
                  <w:u w:val="single"/>
                </w:rPr>
                <w:t>Part II – 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27">
              <w:r>
                <w:rPr>
                  <w:rStyle w:val="InternetLink"/>
                  <w:rFonts w:ascii="Arial Narrow;sans-serif" w:hAnsi="Arial Narrow;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27">
              <w:r>
                <w:rPr>
                  <w:rStyle w:val="InternetLink"/>
                  <w:rFonts w:ascii="Arial Narrow;sans-serif" w:hAnsi="Arial Narrow;sans-serif"/>
                  <w:b w:val="false"/>
                  <w:color w:val="0000FF"/>
                  <w:sz w:val="20"/>
                  <w:u w:val="single"/>
                </w:rPr>
                <w:t>47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30">
              <w:r>
                <w:rPr>
                  <w:rStyle w:val="InternetLink"/>
                  <w:rFonts w:ascii="Arial Narrow;sans-serif" w:hAnsi="Arial Narrow;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30">
              <w:r>
                <w:rPr>
                  <w:rStyle w:val="InternetLink"/>
                  <w:rFonts w:ascii="Arial Narrow;sans-serif" w:hAnsi="Arial Narrow;sans-serif"/>
                  <w:b w:val="false"/>
                  <w:color w:val="0000FF"/>
                  <w:sz w:val="20"/>
                  <w:u w:val="single"/>
                </w:rPr>
                <w:t>47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33">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33">
              <w:r>
                <w:rPr>
                  <w:rStyle w:val="InternetLink"/>
                  <w:rFonts w:ascii="Arial Narrow;sans-serif" w:hAnsi="Arial Narrow;sans-serif"/>
                  <w:b w:val="false"/>
                  <w:color w:val="0000FF"/>
                  <w:sz w:val="20"/>
                  <w:u w:val="single"/>
                </w:rPr>
                <w:t>47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36">
              <w:r>
                <w:rPr>
                  <w:rStyle w:val="InternetLink"/>
                  <w:rFonts w:ascii="Arial Narrow;sans-serif" w:hAnsi="Arial Narrow;sans-serif"/>
                  <w:b w:val="false"/>
                  <w:color w:val="0000FF"/>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36">
              <w:r>
                <w:rPr>
                  <w:rStyle w:val="InternetLink"/>
                  <w:rFonts w:ascii="Arial Narrow;sans-serif" w:hAnsi="Arial Narrow;sans-serif"/>
                  <w:b w:val="false"/>
                  <w:color w:val="0000FF"/>
                  <w:sz w:val="20"/>
                  <w:u w:val="single"/>
                </w:rPr>
                <w:t>48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39">
              <w:r>
                <w:rPr>
                  <w:rStyle w:val="InternetLink"/>
                  <w:rFonts w:ascii="Arial Narrow;sans-serif" w:hAnsi="Arial Narrow;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39">
              <w:r>
                <w:rPr>
                  <w:rStyle w:val="InternetLink"/>
                  <w:rFonts w:ascii="Arial Narrow;sans-serif" w:hAnsi="Arial Narrow;sans-serif"/>
                  <w:b w:val="false"/>
                  <w:color w:val="0000FF"/>
                  <w:sz w:val="20"/>
                  <w:u w:val="single"/>
                </w:rPr>
                <w:t>48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42">
              <w:r>
                <w:rPr>
                  <w:rStyle w:val="InternetLink"/>
                  <w:rFonts w:ascii="Arial Narrow;sans-serif" w:hAnsi="Arial Narrow;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42">
              <w:r>
                <w:rPr>
                  <w:rStyle w:val="InternetLink"/>
                  <w:rFonts w:ascii="Arial Narrow;sans-serif" w:hAnsi="Arial Narrow;sans-serif"/>
                  <w:b w:val="false"/>
                  <w:color w:val="0000FF"/>
                  <w:sz w:val="20"/>
                  <w:u w:val="single"/>
                </w:rPr>
                <w:t>48</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45">
              <w:r>
                <w:rPr>
                  <w:rStyle w:val="InternetLink"/>
                  <w:rFonts w:ascii="Arial Narrow;sans-serif" w:hAnsi="Arial Narrow;sans-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45">
              <w:r>
                <w:rPr>
                  <w:rStyle w:val="InternetLink"/>
                  <w:rFonts w:ascii="Arial Narrow;sans-serif" w:hAnsi="Arial Narrow;sans-serif"/>
                  <w:b w:val="false"/>
                  <w:color w:val="0000FF"/>
                  <w:sz w:val="20"/>
                  <w:u w:val="single"/>
                </w:rPr>
                <w:t>49</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885da3a255b45d5907e76286ff5c0ad_148">
              <w:r>
                <w:rPr>
                  <w:rStyle w:val="InternetLink"/>
                  <w:rFonts w:ascii="Arial Narrow;sans-serif" w:hAnsi="Arial Narrow;sans-serif"/>
                  <w:b/>
                  <w:color w:val="0000FF"/>
                  <w:sz w:val="20"/>
                  <w:u w:val="single"/>
                </w:rPr>
                <w:t>Signature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85da3a255b45d5907e76286ff5c0ad_148">
              <w:r>
                <w:rPr>
                  <w:rStyle w:val="InternetLink"/>
                  <w:rFonts w:ascii="Arial Narrow;sans-serif" w:hAnsi="Arial Narrow;sans-serif"/>
                  <w:b w:val="false"/>
                  <w:color w:val="0000FF"/>
                  <w:sz w:val="20"/>
                  <w:u w:val="single"/>
                </w:rPr>
                <w:t>50</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34"/>
        <w:gridCol w:w="2326"/>
        <w:gridCol w:w="2369"/>
        <w:gridCol w:w="200"/>
        <w:gridCol w:w="895"/>
        <w:gridCol w:w="111"/>
        <w:gridCol w:w="109"/>
        <w:gridCol w:w="109"/>
        <w:gridCol w:w="109"/>
        <w:gridCol w:w="199"/>
        <w:gridCol w:w="885"/>
        <w:gridCol w:w="159"/>
      </w:tblGrid>
      <w:tr>
        <w:trPr/>
        <w:tc>
          <w:tcPr>
            <w:tcW w:w="2734"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2024</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$10,361 and $11,575, respectively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201,960 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$3,118 and $2,203,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409,117 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Long-term investments, net of allowances of $11,125 and $0,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116,569 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1,544,182 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1,343,617 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247,579 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330,054 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338,820 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342,857 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714,350 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443,470 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20,501,837 and 20,780,928 shares issued, respectively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3,269,062 and 3,065,633 shares,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(189,604)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90,633 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606,039 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531,653 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 (loss)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499,778 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561,327 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1,544,182 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1,343,617 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38"/>
        <w:gridCol w:w="1495"/>
        <w:gridCol w:w="1510"/>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173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Nine Months Ended</w:t>
              <w:br/>
              <w:t>September 30,</w:t>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2024</w:t>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1,230,556 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1,097,664 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Total revenues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378,089 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1,257,180 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1,122,491 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835,874 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749,757 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214,485 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(14,522)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391,284 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335,644 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1,128,794 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1,000,722 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128,386 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121,769 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(19,894)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(14,533)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91,806 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107,236 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82,637 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Unrealized loss on investment,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loss on cash flow hedging instruments,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Other comprehensive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(13,081)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55,005 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69,556 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1355" w:type="dxa"/>
        <w:jc w:val="center"/>
        <w:tblInd w:w="0" w:type="dxa"/>
        <w:tblLayout w:type="fixed"/>
        <w:tblCellMar>
          <w:top w:w="28" w:type="dxa"/>
          <w:left w:w="28" w:type="dxa"/>
          <w:bottom w:w="28" w:type="dxa"/>
          <w:right w:w="28" w:type="dxa"/>
        </w:tblCellMar>
      </w:tblPr>
      <w:tblGrid>
        <w:gridCol w:w="645"/>
        <w:gridCol w:w="239"/>
        <w:gridCol w:w="212"/>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6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Accumulated Other</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Comprehensive</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20,569,243 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(3,271,957)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575,619 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(4,943)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474,995 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(2,552)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27,868 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24,469 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47,625 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(146,514)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(18,621)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20,503,059 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(3,271,203)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606,039 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(7,495)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499,778 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2024</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20,834,133 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(3,114,873)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500,578 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(4,259)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13,692 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6,987 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(66,354)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(7,342)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2024</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20,788,458 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(3,115,850)</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174,872 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497,664 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9,746 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522,772 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55" w:type="dxa"/>
        <w:jc w:val="left"/>
        <w:tblInd w:w="0" w:type="dxa"/>
        <w:tblLayout w:type="fixed"/>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20,762,327 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(3,117,675)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(160,093)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177,673 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561,327 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(19,381)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55,005 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546,646 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65,002 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68,656 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Purchases of businesses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210,224 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27,095 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37,669 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(218,530)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(1,084,794)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(152,476)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(152,486)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20,503,059 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(3,271,203)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606,039 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(7,495)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499,778 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2023</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21,175,554 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(2,975,321)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532,892 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(13,081)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69,556 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564,130 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77,657 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29,406 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86,913 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35,422 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(21,458)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capital contributions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(1,067,545)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2024</w:t>
            </w:r>
          </w:p>
        </w:tc>
        <w:tc>
          <w:tcPr>
            <w:tcW w:w="8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20,788,458 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(3,115,850)</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(159,717)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174,872 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497,664 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9,746 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522,772 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882" w:type="dxa"/>
        <w:jc w:val="center"/>
        <w:tblInd w:w="0" w:type="dxa"/>
        <w:tblLayout w:type="fixed"/>
        <w:tblCellMar>
          <w:top w:w="28" w:type="dxa"/>
          <w:left w:w="28" w:type="dxa"/>
          <w:bottom w:w="28" w:type="dxa"/>
          <w:right w:w="28" w:type="dxa"/>
        </w:tblCellMar>
      </w:tblPr>
      <w:tblGrid>
        <w:gridCol w:w="2093"/>
        <w:gridCol w:w="1833"/>
        <w:gridCol w:w="1848"/>
        <w:gridCol w:w="184"/>
        <w:gridCol w:w="582"/>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September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cash flows from operating activities: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property and equipment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equity investment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Credit-related impairment charge on convertible debt investment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life insurance policies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 net of cash acquired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Deferred payments for business acquisitions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(used in) financing activities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increase in cash and cash equivalents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 obtained in exchange for operating lease liabilities</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purchases of businesses</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liabilities</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15 “Segment Information” for a discussion of our three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and nine months ended September 30, 2025 and 2024.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2024 and our Quarterly Reports on Form 10-Q for the periods ended March 31, 2025 and June 30, 2025. Our results for any interim period are not necessarily indicative of results for a full year or any other interim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3. New Accounting Pronouncements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 xml:space="preserve">On December 14, 2023, the Financial Accounting Standards Board (“FASB”) issued Accounting Standards Update (“ASU”) 2023-09, </w:t>
      </w:r>
      <w:r>
        <w:rPr>
          <w:rFonts w:ascii="Arial Narrow;sans-serif" w:hAnsi="Arial Narrow;sans-serif"/>
          <w:b w:val="false"/>
          <w:i/>
          <w:color w:val="000000"/>
          <w:sz w:val="20"/>
        </w:rPr>
        <w:t>Improvements to Income Tax Disclosures</w:t>
      </w:r>
      <w:r>
        <w:rPr>
          <w:rFonts w:ascii="Arial Narrow;sans-serif" w:hAnsi="Arial Narrow;sans-serif"/>
          <w:b w:val="false"/>
          <w:color w:val="000000"/>
          <w:sz w:val="20"/>
        </w:rPr>
        <w:t>,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2025,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pStyle w:val="TextBody"/>
        <w:bidi w:val="0"/>
        <w:spacing w:lineRule="auto" w:line="288" w:before="180" w:after="283"/>
        <w:jc w:val="left"/>
        <w:rPr/>
      </w:pPr>
      <w:r>
        <w:rPr>
          <w:rFonts w:ascii="Arial Narrow;sans-serif" w:hAnsi="Arial Narrow;sans-serif"/>
          <w:b w:val="false"/>
          <w:color w:val="000000"/>
          <w:sz w:val="20"/>
        </w:rPr>
        <w:t xml:space="preserve">On November 4, 2024, the FASB issued ASU 2024-03, </w:t>
      </w:r>
      <w:r>
        <w:rPr>
          <w:rFonts w:ascii="Arial Narrow;sans-serif" w:hAnsi="Arial Narrow;sans-serif"/>
          <w:b w:val="false"/>
          <w:i/>
          <w:color w:val="000000"/>
          <w:sz w:val="20"/>
        </w:rPr>
        <w:t>Income Statement-Reporting Comprehensive Income-Expense Disaggregation Disclosures (Subtopic 220-40): Disaggregation of Income Statement Expenses</w:t>
      </w:r>
      <w:r>
        <w:rPr>
          <w:rFonts w:ascii="Arial Narrow;sans-serif" w:hAnsi="Arial Narrow;sans-serif"/>
          <w:b w:val="false"/>
          <w:color w:val="000000"/>
          <w:sz w:val="20"/>
        </w:rPr>
        <w:t>, which is intended to enhance transparency of the nature and 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pStyle w:val="TextBody"/>
        <w:bidi w:val="0"/>
        <w:spacing w:lineRule="auto" w:line="288" w:before="180" w:after="283"/>
        <w:jc w:val="left"/>
        <w:rPr/>
      </w:pPr>
      <w:r>
        <w:rPr>
          <w:rFonts w:ascii="Arial Narrow;sans-serif" w:hAnsi="Arial Narrow;sans-serif"/>
          <w:b w:val="false"/>
          <w:color w:val="000000"/>
          <w:sz w:val="20"/>
        </w:rPr>
        <w:t xml:space="preserve">On July 30, 2025, the FASB issued ASU 2025-05, </w:t>
      </w:r>
      <w:r>
        <w:rPr>
          <w:rFonts w:ascii="Arial Narrow;sans-serif" w:hAnsi="Arial Narrow;sans-serif"/>
          <w:b w:val="false"/>
          <w:i/>
          <w:color w:val="000000"/>
          <w:sz w:val="20"/>
        </w:rPr>
        <w:t xml:space="preserve">Financial Instruments - Credit Losses (Topic 326): Measurement of Credit Losses for Accounts Receivable and Contract Assets For Private Companies and Certain Not-For-Profit Entities (PCC), </w:t>
      </w:r>
      <w:r>
        <w:rPr>
          <w:rFonts w:ascii="Arial Narrow;sans-serif" w:hAnsi="Arial Narrow;sans-serif"/>
          <w:b w:val="false"/>
          <w:color w:val="000000"/>
          <w:sz w:val="20"/>
        </w:rPr>
        <w:t>which provides a practical expedient for public business entities to simplify the measurement of credit losses for certain receivables and contract assets. ASU 2025-05 will be effective for our annual reporting periods beginning with the fiscal year ending December 31, 2026, with early adoption permitted, and is required to be applied prospectively. We are currently evaluating the impact this guidance will have on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September 18, 2025, the FASB issued ASU 2025-06, </w:t>
      </w:r>
      <w:r>
        <w:rPr>
          <w:rFonts w:ascii="Arial Narrow;sans-serif" w:hAnsi="Arial Narrow;sans-serif"/>
          <w:b w:val="false"/>
          <w:i/>
          <w:color w:val="000000"/>
          <w:sz w:val="20"/>
        </w:rPr>
        <w:t>Intangibles - Goodwill and Other - Internal-Use Software (Subtopic 350-40): Targeted Improvements to the Accounting for Internal-Use Software,</w:t>
      </w:r>
      <w:r>
        <w:rPr>
          <w:color w:val="000000"/>
        </w:rPr>
        <w:t xml:space="preserve"> </w:t>
      </w:r>
      <w:r>
        <w:rPr>
          <w:rFonts w:ascii="Arial Narrow;sans-serif" w:hAnsi="Arial Narrow;sans-serif"/>
          <w:b w:val="false"/>
          <w:color w:val="000000"/>
          <w:sz w:val="20"/>
        </w:rPr>
        <w:t xml:space="preserve">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will be effective for our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reporting periods beginning with the fiscal year ending December 31, 2028, with early adoption permitted, and may be applied prospectively, retrospectively, or via a modified prospective transition method. We are currently evaluating the impact this guidance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Acquisitions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Advancement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2025, we acquired 100% of the ownership interests of Advancement Resources, a research-based, philanthropy-focused professional education services firm. The results of operations of Advancement Resources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Halpin Partnership Limited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17, 2025, we completed the acquisition of certain assets and liabilities of Halpin Partnership Limited (“Halpin”), a U.K.-based management consultancy specializing in higher education fundraising, governance, and strategy. The results of operations of Halpin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Eclipse Insights LLC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June 24, 2025, we completed the acquisition of certain assets and liabilities of Eclipse Insights LLC (“Eclipse Insights”), a revenue cycle consulting firm dedicated to helping healthcare organizations maximize revenue and improve cash flow. The results of operations of Eclipse Insights are included within our consolidated financial statements and results of operations of our Healthcare segment as of the acquisition date.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TVG-Treliant Holdings, LLC.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July 11, 2025, we acquired 100% of the membership interests of TVG-Treliant Holdings, LLC. (“Treliant”), an advisory and managed services firm that provides expertise to the financial services industry in navigating regulatory requirements. The results of operations of Treliant are included within our consolidated financial statements and results of operations of our Commercial segment as of the acquisition date.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Wilson Perumal and Company, Inc.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September 1, 2025, we acquired 100% of the ownership interests of Wilson Perumal and Company, Inc. (“WP&amp;C”), a strategy and operations consulting firm specializing in managing complexity to drive organization efficiency, increase profitability, and improve growth rates. The results of operations of WP&amp;C are included within our consolidated financial statements and results of operations of our Commercial segment as of the acquisition date.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Summary of Accounting Policy and Additional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Each of these acquisitions were accounted for using the acquisition method of accounting. Contract assets and contract liabilities are recorded at their carrying value under Topic 606: Revenue from Contracts with Customers. The current acquisition date values of assets acquired and liabilities assumed in the Treliant and WP&amp;C acquisitions are considered preliminary and are based on the information that was available as of the date of each acquisition. We believe that the information provides a reasonable basis for estimating the preliminary values of assets acquired and liabilities assumed but certain items, such as the valuations of the intangible assets and the working capital adjustments, among other items, may be subject to change as additional information is received. Thus, the provisional measurements of assets acquired, including goodwill, and liabilities assumed related to the acquisitions of Treliant and WP&amp;C are subject to change. We expect to finalize the valuations as soon as practicable, but not later than one year from the acquisition dates. We finalized the measurements of assets acquired and liabilities assumed related to the Advancement Resources, Halpin, and Eclipse Insights acquisitions during the first nine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aggregate fair value of consideration transferred for all acquisitions completed in the first nine months of 2025 was </w:t>
      </w:r>
      <w:bookmarkStart w:id="0" w:name="ib3f1aef031ea4ed0a6aa6587e669d984_22114"/>
      <w:bookmarkEnd w:id="0"/>
      <w:r>
        <w:rPr>
          <w:rFonts w:ascii="Arial Narrow;sans-serif" w:hAnsi="Arial Narrow;sans-serif"/>
          <w:b w:val="false"/>
          <w:color w:val="000000"/>
          <w:sz w:val="20"/>
        </w:rPr>
        <w:t>$151.6 million, which consisted of $105.8 million in cash (inclusive of net working capital and other accrued proceeds adjustments), $27.1 million in Huron common stock, and $18.7 million in the acquisition date fair value of contingent consideration liabilities. Refer to Note 11 “Fair Value of Financial Instruments” for additional information on our contingent consideration liabilities. Refer to Note 5 “Goodwill and Intangible Assets” for additional information on the goodwill and intangibles acquired. No other significant assets or liabilities were acquired in connection with these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and nine months ended September 30, 2025, we recognized total revenues of $15.3 million and $17.8 million, respectively, in the aggregate, from our acquisitions completed in 2025. We determined that it is impractical to determine the amount of earnings generated by the acquisitions, individually or in the aggregate, for the three and nine months ended September 30, 2025 due to the integration of operations after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Goodwill and Intangible Assets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goodwill by reportable segment for the nine months ended September 30, 2025.</w:t>
      </w:r>
    </w:p>
    <w:tbl>
      <w:tblPr>
        <w:tblW w:w="9675" w:type="dxa"/>
        <w:jc w:val="left"/>
        <w:tblInd w:w="0" w:type="dxa"/>
        <w:tblLayout w:type="fixed"/>
        <w:tblCellMar>
          <w:top w:w="28" w:type="dxa"/>
          <w:left w:w="28" w:type="dxa"/>
          <w:bottom w:w="28" w:type="dxa"/>
          <w:right w:w="28" w:type="dxa"/>
        </w:tblCellMar>
      </w:tblPr>
      <w:tblGrid>
        <w:gridCol w:w="1572"/>
        <w:gridCol w:w="1384"/>
        <w:gridCol w:w="139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business acquisitions</w:t>
            </w:r>
            <w:r>
              <w:rPr>
                <w:rFonts w:ascii="Arial Narrow;sans-serif" w:hAnsi="Arial Narrow;sans-serif"/>
                <w:b w:val="false"/>
                <w:color w:val="000000"/>
                <w:sz w:val="13"/>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September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507,288 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See Note 4 "Acquisitions" for additional information on business combinations completed in 2025. Of the $102.8 million of goodwill recorded in the first nine months of 2025, $53.8 million related to the acquisition of Eclipse Insights within our Healthcare segment; $26.3 million related to the acquisition of Treliant within our Commercial segment; $16.5 million related to the acquisition of WP&amp;C within our Commercial segment; and $6.2 million related to the remaining acquisitions completed in 2025. Goodwill is recognized for the excess of purchase price over the net fair value of assets acquired and liabilities assumed, and largely reflects the expanded market opportunities expected from combining the service offerings of Huron and the businesses acquired, as well as the assembled workforces of businesses acquired. The current acquisition date fair values of goodwill acquired in the Treliant and WP&amp;C acquisitions are considered preliminary and are based on the information that was available as of the date of each acquisition. Of the $102.8 million of goodwill recorded in the first nine months of 2025, $98.3 million is expected to be tax deductible.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September 30, 2025 and December 31, 2024 consisted of the following:</w:t>
      </w:r>
    </w:p>
    <w:tbl>
      <w:tblPr>
        <w:tblW w:w="8821" w:type="dxa"/>
        <w:jc w:val="left"/>
        <w:tblInd w:w="0" w:type="dxa"/>
        <w:tblLayout w:type="fixed"/>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73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2024</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36,900 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29,580 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During the nine months ended September 30, 2025, we acquired intangible assets of $53.7 million related to our business combinations completed in 2025. Of the $53.7 million of intangible assets acquired, $27.6 million relates to our acquisition of Eclipse Insights and includes $25.5 million for customer relationships and $2.1 million for technology and software. The acquired customer relationships and technology and software intangible assets have an estimated useful life of 10 years and 5 years, respectively. Also included in the $53.7 million of intangible assets acquired is $19.1 million for the preliminary fair value of the Treliant customer relationships, which have an initial estimated useful life of 10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Identifiable intangible assets with finite lives are amortized over their estimated useful lives using either an accelerated or straight-line basis to correspond to the cash flows expected to be derived from the assets. Intangible asset amortization expense was $3.5 million and $1.6 million for the three months ended September 30, 2025 and 2024, respectively; and $7.9 million and $4.9 million for the nine months ended September 30, 2025 and 2024,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estimated annual amortization expense for the intangible assets recorded as of September 30, 2025.</w:t>
      </w:r>
    </w:p>
    <w:tbl>
      <w:tblPr>
        <w:tblW w:w="520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530"/>
        <w:gridCol w:w="1750"/>
        <w:gridCol w:w="42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11,334 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15,114 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12,809 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11,133 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2025 and 2024, we recognized total revenues of $441.3 million and $378.1 million, respectively. Of the $441.3 million total revenues recognized in the third quarter of 2025, we recognized $12.6 million from obligations satisfied, or partially satisfied, in prior periods, of which $11.3 million was primarily due to changes in the estimates of our variable consideration under performance-based billing arrangements and $1.3 million was primarily due to the release of allowances on receivables from clients and unbilled services. Of the $378.1 million total revenues recognized in the third quarter of 2024, we recognized $10.9 million from obligations satisfied, or partially satisfied, in prior periods, of which $9.1 million was primarily due to changes in the estimates of our variable consideration under performance-based billing arrangements and $1.8 million was primarily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nine months ended September 30, 2025 and 2024, we recognized total revenues of $1.26 billion and $1.12 billion, respectively. Of the $1.26 billion total revenues recognized in the first nine months of 2025, we recognized $27.8 million from obligations satisfied, or partially satisfied in prior periods, of which $25.9 million was primarily due to changes in the estimates of our variable consideration under performance-based billing arrangements and $1.9 million was primarily due to the release of allowances on receivables from clients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Of the $1.12 billion recognized in the first nine months of 2024, we recognized revenues of $22.4 million from obligations satisfied, or partially satisfied, in prior periods, of which $19.1 million was due to changes in the estimates of our variable consideration under performance-based billing arrangements and $3.3 million was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2025, we had $315.9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$315.9 million of performance obligations, we expect to recognize $31.1 million as revenue in 2025, $104.2 million in 2026, and the remaining $180.6 million thereafter. Actual revenue recognition could differ from these amounts as a result of changes in the estimated timing of work to be performed, adjustments to estimated variable consideration in performance-based arrangements, or other factors.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September 30, 2025 and December 31, 2024 was $57.3 million and $60.1 million, respectively. The $2.8 million decrease primarily reflects timing differences between the completion of our performance obligations and the amounts billed or billable to clients in accordance with their contractual billing terms.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September 30, 2025 and December 31, 2024 was $30.9 million and $26.9 million, respectively. The $4.0 million increase primarily reflects timing differences between client payments in accordance with their contract terms and the completion of our performance obligations. For the three and nine months ended September 30, 2025, $1.2 million and $25.9 million of revenues recognized were included in the deferred revenue balance as of December 31,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8955" w:type="dxa"/>
        <w:jc w:val="center"/>
        <w:tblInd w:w="0" w:type="dxa"/>
        <w:tblLayout w:type="fixed"/>
        <w:tblCellMar>
          <w:top w:w="28" w:type="dxa"/>
          <w:left w:w="28" w:type="dxa"/>
          <w:bottom w:w="28" w:type="dxa"/>
          <w:right w:w="28" w:type="dxa"/>
        </w:tblCellMar>
      </w:tblPr>
      <w:tblGrid>
        <w:gridCol w:w="1487"/>
        <w:gridCol w:w="1312"/>
        <w:gridCol w:w="132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anti-dilutive securities excluded from the computation of the weighted average common stock equivalents presented above for both the nine months ended September 30, 2025 and September 30, 2024 was less than 0.1 million shares. There were no anti-dilutive securities for both the three months ended September 30, 2025 and September 30,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2025. The current authorization extends the share repurchase program through December 31, 2026 with a repurchase amount of $700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three months ended September 30, 2025, we repurchased and retired 146,514 shares for $18.6 million. During the nine months ended September 30, 2025, we repurchased and retired 1,084,794 shares for $152.5 million, which includes a $0.6 million accrual for excise taxes on the net share repurchases. Additionally, in the first quarter of 2025, we settled the repurchase of 5,103 shares for $0.6 million which were accrued as of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three and nine months ended September 30, 2024, we repurchased and retired 66,354 and 1,067,545 shares for $7.3 million and $104.0 million, respectively, which includes a $0.1 million and $0.5 million accrual for excise taxes on the net share repurchases, respectively. Additionally, in the first quarter of 2024, we settled the repurchase of 10,000 shares for $1.0 million which were accrued as of December 31,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$112.6 million remained available for share repurchases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July 2025, the Company entered into the Fourth Amended and Restated Credit Agreement (the “Amended Credit Agreement”), which amended and restated, in its entirety, the Third Amended and Restated Credit Agreement (the “Existing Credit Agreement”). The Amended Credit Agreement established a $700 million senior secured revolving credit facility (the “Revolver”) and a $400 million senior secured term loan facility (the “Term Loan”), both of which mature on July 30, 2030. The Term Loan is subject to scheduled quarterly amortization payments of $5.0 million which began September 30, 2025 and continue through the maturity date of July 30, 2030,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we had total borrowings outstanding under the Amended Credit Agreement of $611.0 million, consisting of $216.0 million outstanding under the Revolver and $395.0 million outstanding under the Term Loan. A summary of the scheduled maturities of those borrowings as of September 30, 2025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526,000 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under the Amended Credit Agreement may be used for working capital, capital expenditures, share repurchases, permitted acquisitions, and other general corporate purposes. The initial borrowings under the Amended Credit Agreement were used to reduce current borrowings outstanding under the Existing Credit Agreement.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provides the option to increase the revolving credit facility or establish additional term loan facilities in an aggregate amount up to $500 million with further increases permitted to the extent the Pro Forma Consolidated Leverage Ratio (as defined in the Amended Credit Agreement) remains at or below 3.00 to 1.00 following such incremental borrowings, subject to customary conditions and the approval of any lender whose commitment would be increased. These increases result in an available principal amount of $1.6 billion under the Amended Credit Agreement, with further increases permitted.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will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Fourth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2025, we were in compliance with these financial covenants with a Consolidated Leverage Ratio of 2.30 to 1.00 and a Consolidated Interest Coverage Ratio of 8.86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264" w:type="dxa"/>
        <w:jc w:val="left"/>
        <w:tblInd w:w="0" w:type="dxa"/>
        <w:tblLayout w:type="fixed"/>
        <w:tblCellMar>
          <w:top w:w="28" w:type="dxa"/>
          <w:left w:w="28" w:type="dxa"/>
          <w:bottom w:w="28" w:type="dxa"/>
          <w:right w:w="28" w:type="dxa"/>
        </w:tblCellMar>
      </w:tblPr>
      <w:tblGrid>
        <w:gridCol w:w="1276"/>
        <w:gridCol w:w="1119"/>
        <w:gridCol w:w="1129"/>
        <w:gridCol w:w="228"/>
        <w:gridCol w:w="859"/>
        <w:gridCol w:w="127"/>
        <w:gridCol w:w="109"/>
        <w:gridCol w:w="109"/>
        <w:gridCol w:w="109"/>
        <w:gridCol w:w="216"/>
        <w:gridCol w:w="813"/>
        <w:gridCol w:w="170"/>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264,687 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609,591 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356,607 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589,591 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342,857 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(1)We recognized a $1.5 million discount to the Term Loan for debt issuance costs in connection with the Amended Credit Facility. These debt issuance costs will be amortized to interest expense using an effective interest rate of 5.95%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Amended Credit Agreement as of September 30, 2025 carried a weighted average interest rate of 5.6%. Borrowings outstanding under the Existing Credit Agreement as of December 31, 2024 carried a weighted average interest rate of 4.7%. Both weighted average interest rates include the effect of the interest rate swaps described in Note 10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September 30, 2025, we had outstanding letters of credit totaling $0.4 million, which are used as security deposits for our office facilities. As of September 30, 2025, the unused borrowing capacity under the Revolver was $483.6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and nine months ended September 30, 2025 were $3.5 million and $5.4 million, respectively. The $3.5 million of restructuring charges recognized in the third quarter of 2025 included $1.6 million of severance-related expenses; $1.1 million of accelerated depreciation and amortization on the related fixed assets and right-of-use operating lease assets recognized when we exited our office space in Pensacola, Florida in the third quarter of 2025; and $0.8 million of rent and related expenses, net of sublease income, for our previously vacated office spaces. The $5.4 million of restructuring charges recognized in the first nine months of 2025 primarily consisted of $1.9 million rent and related expenses, net of sublease income, for our previously vacated office spaces; $1.7 million of severance-related expenses; $1.1 million of accelerated depreciation and amortization on the related fixed assets and right-of-use operating lease assets recognized when we exited our office space in Pensacola, Florida; and a $0.7 million non-cash lease impairment charge driven by updated sublease assumptions for a previously vacated office space.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and nine months ended September 30, 2024 were $3.1 million and $7.5 million, respectively. The $3.1 million restructuring charges recognized in the third quarter of 2024 included $1.3 million of severance-related expenses; a $1.2 million non-cash impairment charge on the related right-of-use operating lease asset and fixed assets for a portion of our New York, New York office space that we exited during the third quarter of 2024; and $0.6 million of rent and related expenses, net of sublease income, for our previously vacated office spaces. The $7.5 million of restructuring charges recognized in the first nine months of 2024 included $2.3 million of severance-related expenses; $1.7 million of rent and related expenses, net of sublease income, for previously vacated office spaces; a $1.4 million non-cash lease impairment charge on the right-of-use operating lease asset and fixed assets of the exited office space previously occupied by GG+A; a $1.2 million non-cash impairment charge on the related right-of-use operating lease asset and fixed assets for a portion of our New York, New York office space that we exited during the third quarter of 2024; and $0.8 million related to non-cash lease impairment charges driven by updated sublease assumptions for our previously vacated office spaces.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our restructuring charge liability by restructuring type for the nine months ended September 30, 2025.</w:t>
      </w:r>
    </w:p>
    <w:tbl>
      <w:tblPr>
        <w:tblW w:w="6477" w:type="dxa"/>
        <w:jc w:val="left"/>
        <w:tblInd w:w="0" w:type="dxa"/>
        <w:tblLayout w:type="fixed"/>
        <w:tblCellMar>
          <w:top w:w="28" w:type="dxa"/>
          <w:left w:w="28" w:type="dxa"/>
          <w:bottom w:w="28" w:type="dxa"/>
          <w:right w:w="28" w:type="dxa"/>
        </w:tblCellMar>
      </w:tblPr>
      <w:tblGrid>
        <w:gridCol w:w="938"/>
        <w:gridCol w:w="825"/>
        <w:gridCol w:w="831"/>
        <w:gridCol w:w="372"/>
        <w:gridCol w:w="800"/>
        <w:gridCol w:w="207"/>
        <w:gridCol w:w="109"/>
        <w:gridCol w:w="109"/>
        <w:gridCol w:w="109"/>
        <w:gridCol w:w="109"/>
        <w:gridCol w:w="109"/>
        <w:gridCol w:w="196"/>
        <w:gridCol w:w="421"/>
        <w:gridCol w:w="109"/>
        <w:gridCol w:w="109"/>
        <w:gridCol w:w="109"/>
        <w:gridCol w:w="109"/>
        <w:gridCol w:w="196"/>
        <w:gridCol w:w="55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Additions </w:t>
            </w:r>
            <w:r>
              <w:rPr>
                <w:rFonts w:ascii="Arial Narrow;sans-serif" w:hAnsi="Arial Narrow;sans-serif"/>
                <w:b w:val="false"/>
                <w:color w:val="000000"/>
                <w:sz w:val="13"/>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color w:val="000000"/>
              </w:rPr>
              <w:t xml:space="preserve"> </w:t>
            </w:r>
            <w:r>
              <w:rPr>
                <w:rFonts w:ascii="Arial Narrow;sans-serif" w:hAnsi="Arial Narrow;sans-serif"/>
                <w:b w:val="false"/>
                <w:color w:val="000000"/>
                <w:sz w:val="13"/>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2025</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$1.0 million restructuring charge liability related to employee costs as of September 30, 2025 is expected to be paid in the next 12 months. All of the $0.5 million other restructuring charge liability at September 30, 2025, which relates to the early termination of a contract in a prior period, is expected to be paid in the next 12 months. The employee costs and other restructuring charge liabilities are included as components of accrued payroll and related benefits and accrued expenses and other current liabilities in our consolidated balance sheet,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foreign exchange forward contracts to manage the foreign currency exchange rate risk associated with our operations in India and Canada. We do not use derivative instruments for trading or other speculative purposes.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Cash Flow Hedges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designated our interest rate swaps and Indian Rupee forward contracts as cash flow hedges. Therefore, changes in the fair value of these derivative instruments are recorded to other comprehensive income to the extent effective and reclassified to earnings upon settlement. Below is additional information on the derivative instruments designated as cash flow hedges in effect during the periods presented. From time to time, we may enter into additional forward interest rate swaps or Indian Rupee forward contracts to further hedge against our interest rate and foreign currency exchange rate risk. </w:t>
      </w:r>
    </w:p>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 xml:space="preserve">We are party to forward interest rate swap agreements with aggregate notional amounts of $250.0 million as of both September 30, 2025 and December 31, 2024.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28, 2030.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2025, it was anticipated that $0.2 million of the gains, net of tax, related to interest rate swaps currently recorded in accumulated other comprehensive income (loss) will be reclassified into interest expense, net of interest income in our consolidated statement of operations within the next 12 months.</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We are party to Indian Rupee forward contracts that are scheduled to mature monthly through August 31, 2026. As of September 30, 2025 and December 31, 2024, the aggregate notional amounts of these contracts were Indian Rupee (INR) 1.45 billion, or $16.3 million, and Indian Rupee (INR) 1.40 billion, or $16.3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2025, it was anticipated that $0.3 million of losses, net of tax, related to these foreign currency forward contracts currently recorded in accumulated other comprehensive income (loss) will be reclassified into earnings in our consolidated statement of operations within the next 12 months.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12 “Other Comprehensive Income (Loss)” for additional information on our cash flow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Derivatives not Designated as Hedging Instruments</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 xml:space="preserve">Beginning in the first quarter of 2025, on a quarterly basis, we have entered into Canadian Dollar forward contracts with a $25.0 million notional amount that settle at the end of each quarter. As of September 30, 2025, we have one Canadian Dollar forward contract outstanding, with a notional amount of $25.0 million and a fair value of $0, that will settle on December 31, 2025. We did not designate any of these derivatives as accounting hedging instruments. Therefore, changes in the fair value of the derivatives are recorded to other income (expense), net in our consolidated statements of operations. For the three and nine months ended September 30, 2025, we recognized $0.6 million of realized losses and $0.2 million of realized gains, respectively, related to the settled forward contracts. From time to time, we may enter into additional Canadian Dollar forward contracts to continue to establish economic hedges against our foreign exchange rate risk.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recognized on our consolidated balance sheets as of September 30, 2025 and December 31, 2024.</w:t>
      </w:r>
    </w:p>
    <w:tbl>
      <w:tblPr>
        <w:tblW w:w="9129"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276"/>
        <w:gridCol w:w="784"/>
        <w:gridCol w:w="155"/>
        <w:gridCol w:w="109"/>
        <w:gridCol w:w="109"/>
        <w:gridCol w:w="109"/>
        <w:gridCol w:w="269"/>
        <w:gridCol w:w="764"/>
        <w:gridCol w:w="21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2024</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4,518 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our derivative instruments are transacted under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Fair Value of Financial Instruments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September 30, 2025 and December 31, 2024.</w:t>
      </w:r>
    </w:p>
    <w:tbl>
      <w:tblPr>
        <w:tblW w:w="8652" w:type="dxa"/>
        <w:jc w:val="left"/>
        <w:tblInd w:w="0" w:type="dxa"/>
        <w:tblLayout w:type="fixed"/>
        <w:tblCellMar>
          <w:top w:w="28" w:type="dxa"/>
          <w:left w:w="28" w:type="dxa"/>
          <w:bottom w:w="28" w:type="dxa"/>
          <w:right w:w="28" w:type="dxa"/>
        </w:tblCellMar>
      </w:tblPr>
      <w:tblGrid>
        <w:gridCol w:w="1322"/>
        <w:gridCol w:w="1159"/>
        <w:gridCol w:w="1164"/>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Refer to Note 10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10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investment is carried at fair value with unrealized holding gains and losses excluded from earnings and reported in other comprehensive income (loss). To the extent any decrease in fair value is the result of a credit impairment, such credit-related impairment charge is recorded to other income (expense), net in our consolidated statement of operations.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Additionally, we estimate the credit-related impairment charge as the difference between the present value of expected cash flows to be generated from the investment and the cost basis, limited to the difference between the fair value and cost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hybrid analysis and calculation of the credit-related impairment charge utilize certain assumptions, all of which are Level 3 inputs. In the case of the hybrid analysis, these assumptions include the assumed holding period through the maturity date of January 17, 2027; the applicable waterfall distribution at the end of the expected holding period based on the rights and privileges of the various instruments; cash flow projections discounted at the risk-adjusted rate of 24.0% and 23.5% as of September 30, 2025 and December 31, 2024, respectively; and the concluded equity volatility of 40.0% as of both September 30, 2025 and December 31, 2024. In the case of the credit-related impairment charge recorded in the second quarter of 2025, these assumptions include the assumed holding period through the maturity date of January 17, 2027; the applicable waterfall distribution at the end of the expected holding period based on the rights and privileges of the various instruments; the concluded equity volatility of 40.0%; and cash flow projections discounted at the risk-adjusted rate in a range of 2.0% to 12.1%, with a weighted average of 8.6% calculated using the relative present value of expected cash flows. The use of alternative estimates and assumptions could increase or decrease the estimated fair value of the investment or the calculated credit-related impairment charge, which would result in different impacts to our consolidated balance sheet and statements of operations and other comprehensive income.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balance of the convertible debt investment for the nine months ended September 30, 2025.</w:t>
      </w:r>
    </w:p>
    <w:tbl>
      <w:tblPr>
        <w:tblW w:w="7420" w:type="dxa"/>
        <w:jc w:val="left"/>
        <w:tblInd w:w="0" w:type="dxa"/>
        <w:tblLayout w:type="fixed"/>
        <w:tblCellMar>
          <w:top w:w="28" w:type="dxa"/>
          <w:left w:w="28" w:type="dxa"/>
          <w:bottom w:w="28" w:type="dxa"/>
          <w:right w:w="28" w:type="dxa"/>
        </w:tblCellMar>
      </w:tblPr>
      <w:tblGrid>
        <w:gridCol w:w="1697"/>
        <w:gridCol w:w="1493"/>
        <w:gridCol w:w="1504"/>
        <w:gridCol w:w="109"/>
        <w:gridCol w:w="109"/>
        <w:gridCol w:w="109"/>
        <w:gridCol w:w="470"/>
        <w:gridCol w:w="1556"/>
        <w:gridCol w:w="373"/>
      </w:tblGrid>
      <w:tr>
        <w:trPr/>
        <w:tc>
          <w:tcPr>
            <w:tcW w:w="16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included in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(18,429)</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(11,125)</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Balance as of September 30, 2025</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32,790 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The total decrease in fair value of $29.6 million in the first nine months of 2025 was driven by a decrease in the projected cash flows of Shorelight, which reflects the current federal regulatory environment in which Shorelight operates.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Since our initial investment in 2014, we recognized a total unrealized gain of $3.0 million within other comprehensive income (loss) and an $11.1 million allowance for credit losses within earnings. The $11.1 million credit-related impairment charge was recognized in the second quarter of 2025. As of September 30, 2025 and December 31, 2024, our cost basis was $40.9 million.</w:t>
      </w:r>
    </w:p>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In connection with certain business acquisitions, we may be required to pay post-closing consideration to the sellers if specific financial performance targets are met over a number of years as specified in the related purchase agreements. 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in a range of 4.5% to 5.4% with a weighted average of 5.3% as of September 30, 2025. The weighted average discount rate was calculated using the relative fair values of the contingent consideration liabilities as of September 30, 2025. As of December 31, 2024, the discount rate used in the fair value measurement of our contingent consideration liability was 5.6%. The fair value of the contingent consideration is reassessed quarterly based on assumptions used in our latest projections and input provided by practice leaders and management. Any change in the fair value estimate is recorded to other losses (gains), net in our consolidated statement of operations for that period. The carrying value is recorded in accrued expenses and other current liabilities or deferred compensation and other liabilities, based on the expected timing of payment, in our consolidated balance sheets. The use of alternative estimates and assumptions could increase or decrease the estimated fair value of our contingent consideration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which would result in different impacts to our consolidated balance sheets and consolidated statements of operations.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nine months ended September 30, 2025. </w:t>
      </w:r>
    </w:p>
    <w:tbl>
      <w:tblPr>
        <w:tblW w:w="7361" w:type="dxa"/>
        <w:jc w:val="left"/>
        <w:tblInd w:w="0" w:type="dxa"/>
        <w:tblLayout w:type="fixed"/>
        <w:tblCellMar>
          <w:top w:w="28" w:type="dxa"/>
          <w:left w:w="28" w:type="dxa"/>
          <w:bottom w:w="28" w:type="dxa"/>
          <w:right w:w="28" w:type="dxa"/>
        </w:tblCellMar>
      </w:tblPr>
      <w:tblGrid>
        <w:gridCol w:w="983"/>
        <w:gridCol w:w="863"/>
        <w:gridCol w:w="869"/>
        <w:gridCol w:w="109"/>
        <w:gridCol w:w="109"/>
        <w:gridCol w:w="109"/>
        <w:gridCol w:w="849"/>
        <w:gridCol w:w="2800"/>
        <w:gridCol w:w="670"/>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Acquisition</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18,703 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Balance as of September 30, 2025</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18,703 </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Of the $18.7 million contingent consideration liabilities acquired in 2025, $15.4 million related to our second quarter business combination and $3.3 million related to our third quarter business combinations. The contingent consideration liabilities acquired represent the acquisition date fair values of the contingent consideration arrangements, pursuant to which we may be required to pay additional consideration to the sellers if specific revenues before reimbursable expenses targets are met over a specified period. The aggregate maximum amount of contingent consideration that may be paid in connection with the 2025 business combinations is $49.5 million, which is payable, if earned, on a staggered basis through December 31, 2028.</w:t>
      </w:r>
    </w:p>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(2)    Of the $18.7 million contingent consideration liability, $8.7 million was recorded to accrued expenses and other current liabilities and $10.0 million was recorded to deferred compensation and other liabilities in our consolidated balance sheet as of September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Equity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and we elected to apply the measurement alternative.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2025, the hospital-at-home company merged with a third-party who provides healthcare services and, as a result, our preferred stock investment was restructured as an investment in common stock and preferred stock of the consolidated entity. To determine the appropriate accounting treatment for our equity investment, we performed a VIE analysis and concluded that the company does not meet the definition of a VIE. We also reviewed the characteristics of our investment to confirm that the equity securities do not warrant equity method accounting. After we reviewed all of the terms of the equity securities, we concluded the appropriate accounting treatment for our investment to be that of equity securities with no readily determinable fair value. We elected to continue to apply the measurement alternative and will continue to do so until the investment does not qualify to be so measured.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same or similar equity instruments occurred or if factors indicate that a significant decrease in value has occurred. We remeasure to the fair value of the equity securities using such identified information with changes in the fair value recorded to other income (expense), net in our consolidated statement of operations. The carrying value of the equity investment is recorded in long-term investments in our consolidated balance sheets.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first quarter of 2025, we recognized a non-cash impairment charge of $4.2 million on our preferred stock investment based on the valuation anticipated from the hospital-at-home company's merger.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 Since our initial investment in 2019, we have recognized cumulative unrealized losses of $31.3 million and cumulative unrealized gains of $28.6 million.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September 30, 2025 and December 31, 2024, the carrying value of our equity investment was $2.4 million and $7.4 million, respectively, with a cost basis of $5.0 million.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tables below set forth the components of other comprehensive income (loss), net of tax,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183"/>
        <w:gridCol w:w="951"/>
        <w:gridCol w:w="954"/>
        <w:gridCol w:w="196"/>
        <w:gridCol w:w="603"/>
        <w:gridCol w:w="109"/>
        <w:gridCol w:w="109"/>
        <w:gridCol w:w="109"/>
        <w:gridCol w:w="109"/>
        <w:gridCol w:w="243"/>
        <w:gridCol w:w="522"/>
        <w:gridCol w:w="136"/>
        <w:gridCol w:w="109"/>
        <w:gridCol w:w="109"/>
        <w:gridCol w:w="109"/>
        <w:gridCol w:w="196"/>
        <w:gridCol w:w="603"/>
        <w:gridCol w:w="109"/>
        <w:gridCol w:w="109"/>
        <w:gridCol w:w="109"/>
        <w:gridCol w:w="109"/>
        <w:gridCol w:w="196"/>
        <w:gridCol w:w="603"/>
        <w:gridCol w:w="109"/>
        <w:gridCol w:w="109"/>
        <w:gridCol w:w="109"/>
        <w:gridCol w:w="109"/>
        <w:gridCol w:w="205"/>
        <w:gridCol w:w="581"/>
        <w:gridCol w:w="115"/>
        <w:gridCol w:w="109"/>
        <w:gridCol w:w="109"/>
        <w:gridCol w:w="109"/>
        <w:gridCol w:w="196"/>
        <w:gridCol w:w="603"/>
        <w:gridCol w:w="157"/>
      </w:tblGrid>
      <w:tr>
        <w:trPr/>
        <w:tc>
          <w:tcPr>
            <w:tcW w:w="118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 2024</w:t>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75"/>
        <w:gridCol w:w="837"/>
        <w:gridCol w:w="839"/>
        <w:gridCol w:w="196"/>
        <w:gridCol w:w="687"/>
        <w:gridCol w:w="109"/>
        <w:gridCol w:w="109"/>
        <w:gridCol w:w="109"/>
        <w:gridCol w:w="109"/>
        <w:gridCol w:w="205"/>
        <w:gridCol w:w="581"/>
        <w:gridCol w:w="115"/>
        <w:gridCol w:w="109"/>
        <w:gridCol w:w="109"/>
        <w:gridCol w:w="109"/>
        <w:gridCol w:w="196"/>
        <w:gridCol w:w="687"/>
        <w:gridCol w:w="109"/>
        <w:gridCol w:w="109"/>
        <w:gridCol w:w="109"/>
        <w:gridCol w:w="109"/>
        <w:gridCol w:w="196"/>
        <w:gridCol w:w="687"/>
        <w:gridCol w:w="109"/>
        <w:gridCol w:w="109"/>
        <w:gridCol w:w="109"/>
        <w:gridCol w:w="109"/>
        <w:gridCol w:w="205"/>
        <w:gridCol w:w="581"/>
        <w:gridCol w:w="115"/>
        <w:gridCol w:w="109"/>
        <w:gridCol w:w="109"/>
        <w:gridCol w:w="109"/>
        <w:gridCol w:w="196"/>
        <w:gridCol w:w="687"/>
        <w:gridCol w:w="158"/>
      </w:tblGrid>
      <w:tr>
        <w:trPr/>
        <w:tc>
          <w:tcPr>
            <w:tcW w:w="107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 2024</w:t>
            </w:r>
          </w:p>
        </w:tc>
      </w:tr>
      <w:tr>
        <w:trPr/>
        <w:tc>
          <w:tcPr>
            <w:tcW w:w="2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Unrealized gain (loss) on cash flow hedges: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(loss) related to our interest rate swaps and foreign exchange forward contracts designated as cash flow hedges are recorded to interest expense, net of interest income and direct costs, respectively, on our consolidated statement of operations. The related tax amounts reclassified from accumulated other comprehensive income (loss) are recorded to income tax expense (benefit) on our consolidated statement of operations. Refer to Note 10 “Derivative Instruments and Hedging Activity” for additional information on our derivative instruments.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Accumulated other comprehensive income (loss), net of tax, includes the following components:</w:t>
      </w:r>
      <w:r>
        <w:rPr>
          <w:color w:val="000000"/>
        </w:rPr>
        <w:t> </w:t>
      </w:r>
    </w:p>
    <w:tbl>
      <w:tblPr>
        <w:tblW w:w="10205" w:type="dxa"/>
        <w:jc w:val="left"/>
        <w:tblInd w:w="0" w:type="dxa"/>
        <w:tblLayout w:type="fixed"/>
        <w:tblCellMar>
          <w:top w:w="28" w:type="dxa"/>
          <w:left w:w="28" w:type="dxa"/>
          <w:bottom w:w="28" w:type="dxa"/>
          <w:right w:w="28" w:type="dxa"/>
        </w:tblCellMar>
      </w:tblPr>
      <w:tblGrid>
        <w:gridCol w:w="585"/>
        <w:gridCol w:w="490"/>
        <w:gridCol w:w="493"/>
        <w:gridCol w:w="348"/>
        <w:gridCol w:w="1015"/>
        <w:gridCol w:w="195"/>
        <w:gridCol w:w="109"/>
        <w:gridCol w:w="109"/>
        <w:gridCol w:w="109"/>
        <w:gridCol w:w="382"/>
        <w:gridCol w:w="1260"/>
        <w:gridCol w:w="213"/>
        <w:gridCol w:w="109"/>
        <w:gridCol w:w="109"/>
        <w:gridCol w:w="109"/>
        <w:gridCol w:w="255"/>
        <w:gridCol w:w="785"/>
        <w:gridCol w:w="142"/>
        <w:gridCol w:w="109"/>
        <w:gridCol w:w="109"/>
        <w:gridCol w:w="109"/>
        <w:gridCol w:w="457"/>
        <w:gridCol w:w="1018"/>
        <w:gridCol w:w="255"/>
        <w:gridCol w:w="109"/>
        <w:gridCol w:w="109"/>
        <w:gridCol w:w="109"/>
        <w:gridCol w:w="196"/>
        <w:gridCol w:w="646"/>
        <w:gridCol w:w="162"/>
      </w:tblGrid>
      <w:tr>
        <w:trPr/>
        <w:tc>
          <w:tcPr>
            <w:tcW w:w="5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(5,912)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2025</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(4,670)</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three months ended September 30, 2025, our effective tax rate was 28.7% as we recognized income tax expense of $12.2 million on income of $42.6 million. The effective tax rate of 28.7% was less favorable than the statutory rate, inclusive of state income taxes, of 26.0%, primarily due to certain nondeductible expense items.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2024, our effective tax rate was 27.8% as we recognized income tax expense of $10.4 million on income of $37.6 million. The effective tax rate of 27.8% was less favorable than the statutory rate, inclusive of state income taxes, of 26.1%, primarily due to certain nondeductible expense items. These unfavorable items were partially offset by a tax benefit related to non-taxable gains on our investments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nine months ended September 30, 2025, our effective tax rate was 19.0% as we recognized income tax expense of $17.4 million on income of $91.8 million. The effective tax rate of 19.0% was more favorable than the statutory rate, inclusive of state income taxes, of 26.0%, primarily due to a discrete tax benefit for share-based compensation awards that vested during the first quarter of 2025. This favorable item was partially offset by the establishment of a valuation allowance for deferred tax assets recorded primarily as the result of the capital loss on our investment in a hospital-at-home company and certain nondeductible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2024, our effective tax rate was 22.9% as we recognized income tax expense of $24.6 million on income of $107.2 million. The effective tax rate of 22.9%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July 4, 2025, the President of the United States signed into law the One Big Beautiful Bill Act (“2025 Tax Reform”) that includes several U.S. corporate tax provisions, including the restoration of 100% bonus depreciation on qualified property and the current deductibility of domestic research expenditures. The provisions of the 2025 Tax Reform did not have a material impact on our income tax expense for the three and nine months ended September 30, 2025, and we do not expect it to have a material impact on our effective tax rate for the full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Commitments, Contingencies and Guarantees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recognized a pre-tax $15.0 million litigation settlement gain related to a completed legal matter in which Huron was the plaintiff, which is included in other gains, net on our consolidated statement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$0.4 million were outstanding at both September 30, 2025 and December 31, 2024, which are used as security deposits for our office facilities.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September 30, 2025 and December 31, 2024, the total estimated fair value of our outstanding contingent consideration liabilities was $18.7 million and $0.2 million, respectively. Refer to Note 11 “Fair Value of Financial Instruments” for additional information on our contingent consideration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15.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reportable segments: Healthcare, Education, and Commercial, which align our business by industry.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customer relationship management (“CRM”), data management, artificial intelligence (“AI”) and automation, and technology managed services, and a portfolio of software products; human capital management; revenue cycle managed services and outsourcing; financial advisory consulting; and strategy and innovation consulting. In June 2025, we enhanced our consulting offerings through the acquisition of Eclipse Insights, a leading provider of revenue cycle solutions.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acquisitions of Grenzebach Glier and Associates (“GG+A”) in March 2024 and Advancement Resources and Halpin in March 2025.</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advisory (special situation advisory and corporate finance advisory) consulting services, and strategy and innovation consulting services. In December 2024, we expanded our Commercial consulting and digital services offerings through the acquisition of AXIA Consulting, Inc. (“AXIA Consulting”), a leading provider of supply chain-focused consulting and technology solutions who has deep expertise in the industrials and manufacturing and retail sectors. Additionally, in the third quarter of 2025, we bolstered our Commercial consulting offerings through the acquisitions of Treliant, a global financial services consulting and managed services firm, and WP&amp;C, a leading strategy and operations consulting firm specializing in driving operational efficiency and improved growth and profitability.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chief operating decision maker (“CODM”), who is our chief executive officer, manages the business under these three reportable segments. Our CODM uses segment operating income in the annual budgeting and quarterly forecasting process as well as on a monthly basis for evaluating the performance of each segment and making decisions about allocating capital and other resources to each segment. Our CODM does not evaluate segments using asset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resources, legal, marketing, information technology, and company-wide business development functions, as well as costs related to overall corporate management.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information about our operating segments for the three and nine months ended September 30, 2025 and 2024,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 </w:t>
      </w:r>
    </w:p>
    <w:tbl>
      <w:tblPr>
        <w:tblW w:w="8460" w:type="dxa"/>
        <w:jc w:val="left"/>
        <w:tblInd w:w="0" w:type="dxa"/>
        <w:tblLayout w:type="fixed"/>
        <w:tblCellMar>
          <w:top w:w="28" w:type="dxa"/>
          <w:left w:w="28" w:type="dxa"/>
          <w:bottom w:w="28" w:type="dxa"/>
          <w:right w:w="28" w:type="dxa"/>
        </w:tblCellMar>
      </w:tblPr>
      <w:tblGrid>
        <w:gridCol w:w="1183"/>
        <w:gridCol w:w="1039"/>
        <w:gridCol w:w="104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8504" w:type="dxa"/>
        <w:jc w:val="left"/>
        <w:tblInd w:w="0" w:type="dxa"/>
        <w:tblLayout w:type="fixed"/>
        <w:tblCellMar>
          <w:top w:w="28" w:type="dxa"/>
          <w:left w:w="28" w:type="dxa"/>
          <w:bottom w:w="28" w:type="dxa"/>
          <w:right w:w="28" w:type="dxa"/>
        </w:tblCellMar>
      </w:tblPr>
      <w:tblGrid>
        <w:gridCol w:w="1101"/>
        <w:gridCol w:w="969"/>
        <w:gridCol w:w="974"/>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revenues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Unallocated corporate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(1)Other segment items in each segment consists of restructuring charges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illustrate the disaggregation of segment total revenues and segment revenues before reimbursable expenses by our two principal capabilities: i) Consulting and Managed Services and ii) Digital, and includes a reconciliation to consolidated total revenues and consolidated revenues before reimbursable expenses. We manage our business on the basis of revenues before reimbursable expenses, which we believe is the most accurate reflection of our services because it eliminates the effect of reimbursable expenses that we bill to our clients at cost.</w:t>
      </w:r>
    </w:p>
    <w:tbl>
      <w:tblPr>
        <w:tblW w:w="8336"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398,352 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361,985 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0"/>
        <w:gridCol w:w="1405"/>
        <w:gridCol w:w="1412"/>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5"/>
      </w:tblGrid>
      <w:tr>
        <w:trPr/>
        <w:tc>
          <w:tcPr>
            <w:tcW w:w="16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4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and nine months ended September 30, 2025 and 2024, substantially all of our revenues were recognized over time. During the three and nine months ended September 30, 2025 and 2024, no single client generated greater than 10% of our consolidated total revenues. At September 30, 2025 and December 31, 2024, no single client accounted for greater than 10% of our combined balance of receivables from clients, net and unbilled services,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including as a result of current global trade tensions and/or tariffs. These forward-looking statements involve known and unknown risks, uncertainties, and other factors, including, among others, those described under Item 1A. “Risk Factors,” in our Annual Report on Form 10-K for the year ended December 31, 2024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Sustaining Accelerated Growth in Healthcare and Education: </w:t>
      </w:r>
      <w:r>
        <w:rPr>
          <w:rFonts w:ascii="Arial Narrow;sans-serif" w:hAnsi="Arial Narrow;sans-serif"/>
          <w:b w:val="false"/>
          <w:color w:val="000000"/>
          <w:sz w:val="20"/>
        </w:rPr>
        <w:t>Huron holds leading market positions in healthcare and education, providing comprehensive offerings to the largest health systems, academic medical centers, colleges and universities, and research institutes in the United States and abroad. The Company will continue to broaden its portfolio of offerings in healthcare and education to address the evolving needs in those industries due to competitive, regulatory, financial, and broader market changes.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Our Businesses in Commercial Industries: </w:t>
      </w:r>
      <w:r>
        <w:rPr>
          <w:rFonts w:ascii="Arial Narrow;sans-serif" w:hAnsi="Arial Narrow;sans-serif"/>
          <w:b w:val="false"/>
          <w:color w:val="000000"/>
          <w:sz w:val="20"/>
        </w:rPr>
        <w:t>Through its deep industry and capability expertise and nimble approach, Huron has grown its client base and expanded on its strengths to grow into a distinct player in key end markets and offerings across commercial industries. Huron’s commercial industry focus has increased the diversification of the Company’s portfolio and end markets while expanding the range of capabilities it can deliver to clients, providing new avenues for growth and an important balance to its healthcare and education businesses.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Growing Global Digital Capability:</w:t>
      </w:r>
      <w:r>
        <w:rPr>
          <w:color w:val="000000"/>
        </w:rPr>
        <w:t xml:space="preserve"> </w:t>
      </w:r>
      <w:r>
        <w:rPr>
          <w:rFonts w:ascii="Arial Narrow;sans-serif" w:hAnsi="Arial Narrow;sans-serif"/>
          <w:b w:val="false"/>
          <w:color w:val="000000"/>
          <w:sz w:val="20"/>
        </w:rPr>
        <w:t>As data and technology persist and evolve across industries, Huron’s ability to provide a broad portfolio of digital offerings that support the strategic and operational needs of its clients is at the foundation of the Company’s strategy. Huron will continue to advance its integrated global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and Organic Reinvestment: </w:t>
      </w:r>
      <w:r>
        <w:rPr>
          <w:rFonts w:ascii="Arial Narrow;sans-serif" w:hAnsi="Arial Narrow;sans-serif"/>
          <w:b w:val="false"/>
          <w:color w:val="000000"/>
          <w:sz w:val="20"/>
        </w:rPr>
        <w:t>The Company is well-positioned to further achieve margin expansion as well as strong annual adjusted diluted earnings per share growth while also reinvesting in organic growth. We are committed to operating income margin expansion by improving the operational efficiency of our delivery for clients, including through our global delivery platform in India, increasing utilization, continuing to execute on our pricing realization initiatives, and scaling our selling, general, and administrative expenses as we grow.</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A resilient, flexible balance sheet is the foundation of our financial strength, and strong free cash flows have and will continue to be the hallmark of Huron’s business model. The Company is committed to deploying capital in a strategic and balanced way, including returning capital to shareholders and executing strategic, tuck-in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energy and utilities, industrials and manufacturing, and the public sector. We also provide revenue reporting across two principal capabilities: i) Consulting and Managed Services and ii) Digital, which are methods by which we deliver our services and products.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business operations and care delivery transformation; digital offerings, spanning technology and analytic-related services, including enterprise health record (“EHR”), enterprise resource planning (“ERP”) and enterprise performance management (“EPM”), customer relationship management (“CRM”), data management, artificial intelligence (“AI”) and automation, and technology managed services, and a portfolio of software products; human capital management; revenue cycle managed services and outsourcing; financial advisory consulting; and strategy and innovation consulting. In June 2025, we enhanced our consulting offerings through the acquisition of Eclipse Insights, a leading provider of revenue cycle solutions.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not-for-profit organizations and other education-related organizations. Our education and research-focused services and products include our digital offerings, spanning technology and analytic-related services, including student information systems, ERP and EPM, CRM, data management, AI and automation, and technology managed services and our Huron Research Suite product suite (the leading software suite designed to facilitate and improve research administration service delivery and compliance); our research-focused consulting and managed services; our strategy and operations consulting services, which span finance, accounting, operations and athletics to organization and talent strategy and student and academic strategy; and our global philanthropy consulting services, which were bolstered by the acquisitions of Grenzebach Glier and Associates (“GG+A”) in March 2024 and Advancement Resources and Halpin in March 2025.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advisory (special situation advisory and corporate finance advisory) consulting services, and strategy and innovation consulting services. In December 2024, we expanded our Commercial consulting and digital services offerings through the acquisition of AXIA Consulting, Inc. (“AXIA Consulting”), a leading provider of supply chain-focused consulting and technology solutions who has deep expertise in the industrials and manufacturing and retail sectors. Additionally, in the third quarter of 2025, we bolstered our Commercial consulting offerings through the acquisitions of Treliant, a global financial services consulting and managed services firm, and WP&amp;C, a leading strategy and operations consulting firm specializing in driving operational efficiency and improved growth and profitability.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as the “digital front door” to an organization. We have grown our data, analytics, AI and automation offerings to deliver a unified and actionable technology ecosystem for our clients. Through our acquisition of AXIA Consulting, we have also expanded our supply chain management (“SCM”) offerings and broadened our technology portfolio with advanced Microsoft capabilities, while strengthening Huron's ability to empower clients to align their people and processes to support their digital-first goals.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30 technology partners. For example, we are a Leading Modern Oracle Network Partner; a Summit-level consulting partner with Salesforce.com and a Premium Partner with Salesforce.org; a Workday Services, Preferred Channel, Extend, and Application Management Services Partner; an Amazon Web Services consulting partner; a Microsoft Solutions Partner, an Informatica Platinum Partner; an SAP Concur implementation partner; and a Boomi Elite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2024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Revenues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before reimbursable expenses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before reimbursable expenses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research administration and compliance software.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our cloud-based analytic tools and solutions including our cloud-based revenue cycle management software and research administration and compliance software. Software support, maintenance and subscription revenues are recognized ratably over the support or subscription period. These fees are generally billed in advance and included in deferred revenues until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primarily consists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office-related expenses, sales- and marketing-related expenses, recruiting and training expenses, and practice administration and meeting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other gains and losses, depreciation expense, and amortization expense related to internally developed software costs and intangible assets acquired in business combinations.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before reimbursable expenses,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pStyle w:val="TextBody"/>
        <w:bidi w:val="0"/>
        <w:spacing w:lineRule="auto" w:line="288" w:before="180" w:after="283"/>
        <w:jc w:val="left"/>
        <w:rPr/>
      </w:pPr>
      <w:r>
        <w:rPr>
          <w:rFonts w:ascii="Arial Narrow;sans-serif" w:hAnsi="Arial Narrow;sans-serif"/>
          <w:b w:val="false"/>
          <w:i/>
          <w:color w:val="000000"/>
          <w:sz w:val="20"/>
        </w:rPr>
        <w:t>2024 litigation settlement gain:</w:t>
      </w:r>
      <w:r>
        <w:rPr>
          <w:color w:val="000000"/>
        </w:rPr>
        <w:t> </w:t>
      </w:r>
      <w:r>
        <w:rPr>
          <w:rFonts w:ascii="Arial Narrow;sans-serif" w:hAnsi="Arial Narrow;sans-serif"/>
          <w:b w:val="false"/>
          <w:color w:val="000000"/>
          <w:sz w:val="20"/>
        </w:rPr>
        <w:t>In the second quarter of 2024, we settled a litigation matter in which Huron was the plaintiff for $15.0 million, on a pre-tax basis. This $15.0 million settlement gain was recorded as a component of other gains, net on our consolidated statement of operations. We have excluded from our non-GAAP measures $11.7 million, which is the value of the settlement gain that exceeds the third-party legal costs incurred during 2024 specific to this litigation matter, as this net gain is not indicative of the ongoing performance of our business. Of the $3.3 million third-party legal costs incurred for this matter in 2024, $2.7 million was incurred in the first quarter and $0.6 million was incurred in the second quarter. Our third-party legal expenses are recorded as a component of selling, general and administrative expenses on our statement of operations.</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to permit comparability with periods that are not impacted by these items. These items are recorded as a component of other losses (gains), net on our consolidated statement of operations.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and other corporate costs incurred directly related to the evaluation and/or consummation of business acquisitions.</w:t>
      </w:r>
    </w:p>
    <w:p>
      <w:pPr>
        <w:pStyle w:val="TextBody"/>
        <w:bidi w:val="0"/>
        <w:spacing w:lineRule="auto" w:line="288" w:before="180" w:after="283"/>
        <w:jc w:val="left"/>
        <w:rPr/>
      </w:pPr>
      <w:r>
        <w:rPr>
          <w:rFonts w:ascii="Arial Narrow;sans-serif" w:hAnsi="Arial Narrow;sans-serif"/>
          <w:b w:val="false"/>
          <w:i/>
          <w:color w:val="000000"/>
          <w:sz w:val="20"/>
        </w:rPr>
        <w:t>Unrealized losses (gains) on long-term investments</w:t>
      </w:r>
      <w:r>
        <w:rPr>
          <w:rFonts w:ascii="Arial Narrow;sans-serif" w:hAnsi="Arial Narrow;sans-serif"/>
          <w:b w:val="false"/>
          <w:color w:val="000000"/>
          <w:sz w:val="20"/>
        </w:rPr>
        <w:t>: We exclude the effect of unrealized losses and gains related to our long-term investments, which include non-cash credit-related impairment charges on our convertible debt investment in Shorelight Holdings, LLC and changes in the fair value of our equity investment in a hospital-at-home company arising from observable price changes or impairment charges. These unrealized losses and gains are included as a component of other income (expense), net on our consolidated statements of operations. We believe these unrealized losses and gains are not indicative of the ongoing performance of our business and their exclusion permits comparability with prior periods.</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Managed Services professionals who provide revenue cycle management and research administration managed services and outsourcing at our healthcare, education and research-focused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third quarter of 2025 include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Revenues before reimbursable expenses increased 16.8% to $432.4 million for the third quarter of 2025 from $370.0 million for the third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income as a percentage of total revenues was 6.9% for the third quarter of 2025, compared to 7.2% for the third quarter of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as a percentage of revenues before reimbursable expenses increased to 15.6% for the third quarter of 2025, compared to 14.8% for the third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EPS increased 16.3% to $1.71 for the third quarter of 2025, compared to $1.47 for the third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diluted EPS increased 25.0% to $2.10 for the third quarter of 2025, compared to $1.68 for the third quarter of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Returned $152.5 million to shareholders in the first nine months of 2025 by repurchasing 1,084,794 shares of our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$62.3 million, or 16.8%, to $432.4 million for the third quarter of 2025 from $370.0 million for the third quarter of 2024. The overall increase in revenues before reimbursable expenses reflects strengthened demand for our Consulting and Managed Services capabilities and our Digital capabilities across all segments. The increase includes $28.3 million of incremental revenues before reimbursable expenses from our acquisitions completed since the third quarter of 2024. Excluding the $28.3 million of incremental revenues before reimbursable expenses from our acquisitions and $3.4 million of revenues before reimbursable expenses in the third quarter of 2024 generated by the Studer Education business, which we divested at the end of 2024, revenues before reimbursable expenses grew 10.2% organically.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within our Consulting and Managed Services capability increased $41.8 million, or 19.5%, in the third quarter of 2025 to $256.3 million, compared to $214.5 million in the third quarter of 2024; and reflected strengthened demand across all segments. The increase includes $15.1 million of incremental revenues before reimbursable expenses from our acquisitions of Eclipse Insights, Treliant, Advancement Resources, WP&amp;C and Halpin. The utilization rate within our Consulting capability increased to 73.7% in the third quarter of 2025, compared to 73.6% in the third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within our Digital capability increased $20.5 million, or 13.2%, in the third quarter of 2025 to $176.0 million, compared to $155.5 million in the third quarter of 2024; and reflected strengthened demand across all segments. The increase includes $13.3 million of incremental revenues before reimbursable expenses from our acquisition of AXIA Consulting. The utilization rate within our Digital capability decreased to 77.1% in the third quarter of 2025, compared to 77.2% in the third quarter of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total number of revenue-generating professionals, excluding Managed Services professionals, increased 15.2% to 5,244 as of September 30, 2025, compared to 4,551 as of September 30, 2024, as a result of the acquisitions completed since the third quarter of 2024 and hiring to support the overall increase in demand for our services. The number of Managed Services professionals increased 55.5% to 2,091 as of September 30, 2025 from 1,345 as of September 30, 2024, as a result of hiring to support the increase in demand for our services.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$3.3 million, or 12.0%, to $30.4 million, or 6.9% of total revenues, for the third quarter of 2025 compared to $27.1 million, or 7.2% of total revenues, for the same period last year. As a result of the increase in net income and a reduction in diluted shares outstanding resulting from share repurchases made under our share repurchase plan, diluted earnings per share for the third quarter of 2025 increased 16.3% to $1.71, compared to $1.47 for the third quarter of 2024. Adjusted diluted earnings per share increased 25.0% to $2.10 for the third quarter of 2025, compared to $1.68 for the third quarter of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$12.6 million, or 22.9%, to $67.4 million, or 15.6% of revenues before reimbursable expenses, for the third quarter of 2025, compared to $54.9 million, or 14.8% of revenues before reimbursable expenses, for the same period last year.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nine months of 2025, we deployed $152.5 million of capital to repurchase 1,084,794 shares of our common stock, representing 6.1% of our common stock outstanding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set forth, for the periods indicated, selected segment and consolidated operating results and other operating data, including non-GAAP measures.</w:t>
      </w:r>
    </w:p>
    <w:tbl>
      <w:tblPr>
        <w:tblW w:w="10205" w:type="dxa"/>
        <w:jc w:val="left"/>
        <w:tblInd w:w="0" w:type="dxa"/>
        <w:tblLayout w:type="fixed"/>
        <w:tblCellMar>
          <w:top w:w="28" w:type="dxa"/>
          <w:left w:w="28" w:type="dxa"/>
          <w:bottom w:w="28" w:type="dxa"/>
          <w:right w:w="28" w:type="dxa"/>
        </w:tblCellMar>
      </w:tblPr>
      <w:tblGrid>
        <w:gridCol w:w="1588"/>
        <w:gridCol w:w="1147"/>
        <w:gridCol w:w="1154"/>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87"/>
      </w:tblGrid>
      <w:tr>
        <w:trPr/>
        <w:tc>
          <w:tcPr>
            <w:tcW w:w="158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8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67,757 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147,591 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381,473 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88,622 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81,906 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83,396 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233,230 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39,198 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441,284 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1,257,180 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163,201 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143,386 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128,386 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121,769 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(36,580)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(14,533)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91,806 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107,236 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(excluding Managed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 and Managed Services</w:t>
            </w:r>
            <w:r>
              <w:rPr>
                <w:rFonts w:ascii="Arial Narrow;sans-serif" w:hAnsi="Arial Narrow;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709,362 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634,415 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521,194 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463,249 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3"/>
        <w:gridCol w:w="1615"/>
        <w:gridCol w:w="1624"/>
        <w:gridCol w:w="109"/>
        <w:gridCol w:w="109"/>
        <w:gridCol w:w="109"/>
        <w:gridCol w:w="286"/>
        <w:gridCol w:w="270"/>
        <w:gridCol w:w="320"/>
        <w:gridCol w:w="144"/>
        <w:gridCol w:w="144"/>
        <w:gridCol w:w="144"/>
        <w:gridCol w:w="286"/>
        <w:gridCol w:w="270"/>
        <w:gridCol w:w="320"/>
        <w:gridCol w:w="109"/>
        <w:gridCol w:w="109"/>
        <w:gridCol w:w="109"/>
        <w:gridCol w:w="286"/>
        <w:gridCol w:w="270"/>
        <w:gridCol w:w="304"/>
        <w:gridCol w:w="137"/>
        <w:gridCol w:w="137"/>
        <w:gridCol w:w="137"/>
        <w:gridCol w:w="286"/>
        <w:gridCol w:w="270"/>
        <w:gridCol w:w="368"/>
      </w:tblGrid>
      <w:tr>
        <w:trPr/>
        <w:tc>
          <w:tcPr>
            <w:tcW w:w="193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17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51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Utilization rate by capability</w:t>
            </w:r>
            <w:r>
              <w:rPr>
                <w:rFonts w:ascii="Arial Narrow;sans-serif" w:hAnsi="Arial Narrow;sans-serif"/>
                <w:b/>
                <w:color w:val="000000"/>
                <w:sz w:val="13"/>
              </w:rPr>
              <w:t>(5)</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88" w:before="0" w:after="60"/>
        <w:ind w:left="0" w:right="0" w:hanging="360"/>
        <w:jc w:val="left"/>
        <w:rPr/>
      </w:pPr>
      <w:r>
        <w:rPr>
          <w:rFonts w:ascii="Arial;sans-serif" w:hAnsi="Arial;sans-serif"/>
          <w:b w:val="false"/>
          <w:color w:val="000000"/>
          <w:sz w:val="18"/>
        </w:rPr>
        <w:t>(1)    </w:t>
      </w:r>
      <w:r>
        <w:rPr>
          <w:rFonts w:ascii="Arial Narrow;sans-serif" w:hAnsi="Arial Narrow;sans-serif"/>
          <w:b w:val="false"/>
          <w:color w:val="000000"/>
          <w:sz w:val="20"/>
        </w:rPr>
        <w:t>The majority of our revenue-generating professionals within our Commercial segment can provide services across all of our industries, including healthcare and education, and the related costs of these professionals are allocated to each of the segments.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The increase in the number of revenue-generating professionals within our Commercial segment includes our acquisition of Treliant in the third quarter of 2025. This acquisition added approximately 180 revenue-generating professionals, of which approximately 65 are consultants who work variable schedules as needed by clients.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(3)    We have separately presented the total number of revenue-generating professionals within our Managed Services capabilities of our Healthcare and Education segments. Our Healthcare Managed Services professionals provide revenue cycle billing, collections, insurance verification and change integrity services to clients. Our Education Managed Services professionals provide research administration managed services and outsourcing at our education and research-focused clients.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Healthcare segment was 1,977 and 1,223 as of September 30, 2025 and 2024,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was 114 and 122 as of September 30, 2025 and 2024,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    Managed Services capability revenues before reimbursable expenses within our Healthcare segment was $25.0 million and $19.3 million for the three months ended September 30, 2025 and 2024, respectively; and $64.3 million and $53.5 million for the nine months ended September 30, 2025 and 2024,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capability revenues before reimbursable expenses within our Education segment was $7.7 million and $6.6 million for the three months ended September 30, 2025 and 2024, respectively; and $22.4 million and $20.8 million for the nine months ended September 30, 2025 and 2024,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10205" w:type="dxa"/>
        <w:jc w:val="left"/>
        <w:tblInd w:w="0" w:type="dxa"/>
        <w:tblLayout w:type="fixed"/>
        <w:tblCellMar>
          <w:top w:w="28" w:type="dxa"/>
          <w:left w:w="28" w:type="dxa"/>
          <w:bottom w:w="28" w:type="dxa"/>
          <w:right w:w="28" w:type="dxa"/>
        </w:tblCellMar>
      </w:tblPr>
      <w:tblGrid>
        <w:gridCol w:w="1627"/>
        <w:gridCol w:w="1291"/>
        <w:gridCol w:w="1297"/>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88"/>
      </w:tblGrid>
      <w:tr>
        <w:trPr/>
        <w:tc>
          <w:tcPr>
            <w:tcW w:w="162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441,284 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1,257,180 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30,420 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74,386 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as a percentage of total revenues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18,967 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141,171 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146,097 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losses on 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67,435 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54,870 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169,505 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144,372 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 before reimbursable expenses</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2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8460" w:type="dxa"/>
        <w:jc w:val="center"/>
        <w:tblInd w:w="0" w:type="dxa"/>
        <w:tblLayout w:type="fixed"/>
        <w:tblCellMar>
          <w:top w:w="28" w:type="dxa"/>
          <w:left w:w="28" w:type="dxa"/>
          <w:bottom w:w="28" w:type="dxa"/>
          <w:right w:w="28" w:type="dxa"/>
        </w:tblCellMar>
      </w:tblPr>
      <w:tblGrid>
        <w:gridCol w:w="1280"/>
        <w:gridCol w:w="1128"/>
        <w:gridCol w:w="1132"/>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losses on long-term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Three Months Ended September 30, 2025 Compared to Three Months Ended September 30,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three months ended September 30, 2025 and 2024 were as follows:</w:t>
      </w:r>
    </w:p>
    <w:tbl>
      <w:tblPr>
        <w:tblW w:w="9699"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$62.3 million, or 16.8%, to $432.4 million for the third quarter of 2025 from $370.0 million for the third quarter of 2024. The overall increase in revenues before reimbursable expenses reflects strengthened demand for our Consulting and Managed Services capabilities and our Digital capabilities across all segments. The increase includes $28.3 million of incremental revenues before reimbursable expenses from our acquisitions completed since the third quarter of 2024. Excluding the $28.3 million of incremental revenues before reimbursable expenses from our acquisitions and $3.4 million of revenues before reimbursable expenses in the third quarter of 2024 generated by the Studer Education business, which we divested at the end of 2024, revenues before reimbursable expenses grew 10.2% organically. Additional information on our revenues before reimbursable expenses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before reimbursable expenses increased $36.4 million, or 19.9%, driven by strengthened demand for our performance improvement, financial advisory, revenue cycle managed services, and strategy and innovation solutions within our Consulting and Managed Services capability and our technology and analytics services within our Digital capability. These increases in demand were partially offset by a decrease in revenues before reimbursable expenses due to the divestiture of our Studer Education practice in the fourth quarter of 2024. The Studer Education business generated $3.4 million of revenues before reimbursable expenses in the third quarter of 2024. Revenues before reimbursable expenses in the third quarter of 2025 included $6.5 million of incremental revenues from our acquisitions of Eclipse Insights and AXIA Consulting.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excluding Managed Services professionals, within our Healthcare segment grew 17.1% to 1,428 as of September 30, 2025, compared to 1,219 as of September 30, 2024. Our acquisition of Eclipse Insights in June 2025 added approximately 40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before reimbursable expenses increased $8.4 million, or 6.9%, driven by strengthened demand for our strategy and operations and research solutions within our Consulting and Managed Services capability and our software products within our Digital capability. Revenues before reimbursable expenses in the third quarter of 2025 included $2.2 million of incremental revenues from our acquisitions of Advancement Resources, AXIA Consulting, and Halpin.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Education segment, excluding Managed Services professionals, grew 3.4% to 1,166 as of September 30, 2025, compared to 1,128 as of September 30, 2024. Our acquisitions of Advancement Resources and Halpin in March 2025 added approximately 30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revenues before reimbursable expenses increased $17.5 million, or 26.6%, which reflects $19.6 million of incremental revenues before reimbursable expenses from our acquisitions of AXIA Consulting, Treliant, and WP&amp;C and continued strength in demand for our technology and analytics services within our Digital capability; partially offset by a decrease in demand for our financial advisory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Commercial segment, the majority of which provide services across all of our industries, grew 20.2% to 2,650 as of September 30, 2025, compared to 2,204 as of September 30, 2024. Our acquisition of AXIA Consulting in December 2024 added approximately 130 revenue-generating professionals, and the acquisitions of Treliant and WP&amp;C in the third quarter of 2025 added approximately 210 revenue-generating professionals.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third quarter of 2025 increased $55.6 million, or 16.6%, over the third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527"/>
        <w:gridCol w:w="1342"/>
        <w:gridCol w:w="1349"/>
        <w:gridCol w:w="109"/>
        <w:gridCol w:w="109"/>
        <w:gridCol w:w="109"/>
        <w:gridCol w:w="196"/>
        <w:gridCol w:w="736"/>
        <w:gridCol w:w="109"/>
        <w:gridCol w:w="109"/>
        <w:gridCol w:w="109"/>
        <w:gridCol w:w="109"/>
        <w:gridCol w:w="157"/>
        <w:gridCol w:w="157"/>
        <w:gridCol w:w="158"/>
        <w:gridCol w:w="109"/>
        <w:gridCol w:w="109"/>
        <w:gridCol w:w="109"/>
        <w:gridCol w:w="196"/>
        <w:gridCol w:w="736"/>
        <w:gridCol w:w="109"/>
        <w:gridCol w:w="109"/>
        <w:gridCol w:w="109"/>
        <w:gridCol w:w="109"/>
        <w:gridCol w:w="157"/>
        <w:gridCol w:w="157"/>
        <w:gridCol w:w="158"/>
        <w:gridCol w:w="109"/>
        <w:gridCol w:w="109"/>
        <w:gridCol w:w="109"/>
        <w:gridCol w:w="258"/>
        <w:gridCol w:w="857"/>
        <w:gridCol w:w="211"/>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40,954 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55,640 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$41.0 million, or 16.5%, to $288.8 million for the third quarter of 2025 from $247.8 million for the third quarter of 2024. The $41.0 million increase primarily related to a $34.2 million increase in compensation costs for our revenue-generating professionals, a $3.9 million increase in contractor expenses, and a $1.3 million increase in technology costs. The increase in compensation costs reflects our investment to grow our talented team to meet increased market demand and is primarily attributable to a $26.4 million increase in salaries and related expenses, driven by increased headcount and annual salary increases that went into effect in the first quarter of 2025, a $5.3 million increase in performance bonus expense, a $1.4 million increase in share-based compensation expense, and a $1.1 million increase in signing, retention and other bonus expense. As a percentage of revenues before reimbursable expenses, direct costs decreased to 66.8% during the third quarter of 2025, compared to 67.0% during the third quarter of 2024. This decrease was primarily due to revenue growth that outpaced the increase in compensation costs for our revenue-generating professionals; partially offset by an increase in contractor expenses,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$10.9 million, or 15.5%, to $81.3 million in the third quarter of 2025 from $70.4 million in the third quarter of 2024. The $10.9 million increase includes a $4.4 million increase in compensation costs for our support personnel; a $2.0 million increase in software and data hosting expenses; a $1.5 million increase in third-party professional fees; a $0.9 million increase in legal expenses; and a $0.8 million increase in promotion and marketing expenses. The $4.4 million increase in compensation costs for our support personnel was primarily driven by a $3.3 million increase in salaries and related expenses. As a percentage of revenues before reimbursable expenses, selling, general and administrative expenses decreased to 18.8% during the third quarter of 2025, compared to 19.0% during the third quarter of 2024, which was primarily due to revenue growth that outpaced the increase in compensation costs for our support personnel; partially offset by an increase in third-party professional fees,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Other Gains,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 totaled $0.2 million in the third quarter of 2024 and consisted of remeasurement gains to decrease the fair value of our contingent consideration liabilities related to business combinations. There were no other losses or gains recognized in the third quarter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11 “Fair Value of Financial Instruments” within the notes to our consolidated financial statements for additional information on the fair value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third quarter of 2025 were $3.5 million, compared to $3.1 million for the third quarter of 2024. The $3.5 million of restructuring charges recognized in the third quarter of 2025 included $1.6 million of severance-related expenses; $1.1 million of accelerated depreciation and amortization on the related fixed assets and right-of-use operating lease assets recognized when we exited our office space in Pensacola, Florida in the third quarter of 2025; and $0.8 million of rent and related expenses, net of sublease income, for our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$3.1 million of restructuring charges recognized in the third quarter of 2024 included $1.3 million of severance-related expenses; a $1.2 million non-cash impairment charge on the related right-of-use operating lease asset and fixed assets for a portion of our New York, New York office space that we exited during the third quarter of 2024; and $0.6 million of rent and related expenses, net of sublease income, for our previously vacated office spaces.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$2.4 million, or 38.3%, to $8.7 million in the third quarter of 2025, compared to $6.3 million in the third quarter of 2024. The $2.4 million increase in depreciation and amortization expense was primarily attributable to increases in amortization of intangible assets acquired in business acquisitions and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 increased $7.6 million, or 17.8%, to $50.0 million in the third quarter of 2025 from $42.4 million in the third quarter of 2024. Operating margin, which is defined as operating income expressed as a percentage of revenues before reimbursable expenses was 11.6% for the three months ended September 30, 2025, compared to 11.5% for the three months ended September 30, 2024.</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285"/>
        <w:gridCol w:w="948"/>
        <w:gridCol w:w="23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9,728 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$18.1 million, or 36.5%, primarily due to the increase in revenues before reimbursable expenses, as well as a decrease in salaries and related expenses for our support personnel; partially offset by increases in compensation costs for our revenue-generating professionals and contractor expenses. The increase in compensation costs for our revenue-generating professionals was driven by an increase in headcount and annual salary increases that went into effect in the first quarter of 2025, as well as increases in performance bonus expense, share-based compensation expense, and signing, retention and other bonus expense. Healthcare operating margin increased to 30.9% from 27.1% primarily due to revenue growth that outpaced the increase in salaries and related expenses for our revenue-generating professionals and the decrease in salaries and related expenses for our support personnel.</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$4.1 million, or 14.0%, primarily due to the increase in revenues before reimbursable expenses; partially offset by increases in compensation costs for our revenue-generating professionals and support personnel, amortization of internally developed software, contractor expenses, and product and event costs. The increase in compensation costs for our revenue-generating professionals and support personnel were primarily driven by an increase in headcount and annual salary increases that went into effect in the first quarter of 2025, as well as an increase in share-based compensation expense for our revenue-generating professionals. Education operating margin increased to 25.7% from 24.1% primarily driven by revenue growth that outpaced the increase in compensation costs for our revenue-generating professionals; partially offset by increases in amortization of internally developed software, product and event costs, contractor expenses, and compensation costs for our support personnel, as percentages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operating income decreased $2.5 million, or 15.4%, primarily due to increases in compensation costs for our revenue-generating professionals and support personnel and contractor expenses; partially offset by the increase in revenues before reimbursable expense. The increase in compensation costs was primarily due to the increased headcount, driven by our acquisitions of AXIA Consulting and Treliant, and annual salary increases that went into effect in the first quarter of 2025. Commercial operating margin decreased to 16.4% from 24.5% primarily due to the increases in salaries and related expenses for our revenue-generating professionals and contractor expenses, as percentages of revenues before reimbursable expenses; partially offset by revenue growth that outpaced the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performance bonus expense for our revenue-generating professionals and a decrease in share-based compensation expense for our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Unallocated corporate expenses</w:t>
      </w:r>
      <w:r>
        <w:rPr>
          <w:color w:val="000000"/>
        </w:rPr>
        <w:t xml:space="preserve"> </w:t>
      </w:r>
      <w:r>
        <w:rPr>
          <w:rFonts w:ascii="Arial Narrow;sans-serif" w:hAnsi="Arial Narrow;sans-serif"/>
          <w:b w:val="false"/>
          <w:color w:val="000000"/>
          <w:sz w:val="20"/>
        </w:rPr>
        <w:t>increased $9.7 million, or 20.8%, primarily due to increases in compensation costs for our support personnel, software and data hosting expenses, legal expenses, and third-party professional fees. The increase in compensation costs for our support personnel was primarily driven by an increase in headcount and annual salary increases that went into effect in the first quarter of 2025. The increases in legal expenses and third-party professional fees were primarily driven by professional fees for our programmatic acquisition activity.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$4.2 million to $11.0 million in the third quarter of 2025 from $6.8 million in the third quarter of 2024, which was primarily attributable to higher levels of borrowing and higher interest rates under our senior secured credit facility during the third quarter of 2025 compared to the third quarter of 2024. See “Liquidity and Capital Resources” below and Note 8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net totaled $3.7 million in the third quarter of 2025, compared to $1.9 million in the third quarter of 2024. In the third quarter of 2025, we recognized a $2.6 million gain for the market value of our deferred compensation investments and $1.1 million of foreign currency transaction gains. In the third quarter of 2024, we recognized a $2.2 million gain for the market value of our deferred compensation investments and $0.3 million of foreign currency transaction losses.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 See Note 10 “Derivative Instruments and Hedging Activity” within the notes to our consolidated financial statements for additional information on our foreign exchange forward contracts.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three months ended September 30, 2025, our effective tax rate was 28.7% as we recognized income tax expense of $12.2 million on income of $42.6 million. The effective tax rate of 28.7% was less favorable than the statutory rate, inclusive of state income taxes, of 26.0%, primarily due to certain nondeductible expense items.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2024, our effective tax rate was 27.8% as we recognized income tax expense of $10.4 million on income of $37.6 million. The effective tax rate of 27.8% was less favorable than the statutory rate, inclusive of state income taxes, of 26.1%, primarily due to certain nondeductible expense items. These unfavorable items were partially offset by a tax benefit related to non-taxable gains on our investments used to fund our deferred compensation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$3.3 million, or 12.0%, to $30.4 million for the three months ended September 30, 2025 from $27.1 million for the same period last year. As a result of the increase in net income and a reduction in diluted shares outstanding resulting from share repurchases made under our share repurchase plan, diluted earnings per share for the third quarter of 2025 increased to $1.71 from $1.47 for the third quarter of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EBITDA increased $11.7 million, or 23.0%, to $62.6 million for the third quarter of 2025 from $50.9 million for the third quarter of 2024. The increase in EBITDA was primarily attributable to the increases in Healthcare and Education segment operating income, excluding segment depreciation and amortization; partially offset by the increase in unallocated corporate expenses, excluding the impact of the change in the market value of our deferred compensation liability, and the decrease in Commercial segment operating income, excluding segment 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 increased $12.6 million, or 22.9%, to $67.4 million in the third quarter of 2025 from $54.9 million in the third quarter of 2024. The increase in adjusted EBITDA was primarily attributable to the increases in Healthcare and Education segment operating income, excluding segment depreciation and amortization and segment restructuring charges; partially offset by the increase in unallocated corporate expenses, excluding the impact of the change in the market value of our deferred compensation liability and transaction-related expenses, and the decrease in Commercial segment operating income, excluding segment depreciation and amortization and segment restructuring charges.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net income increased $6.3 million, or 20.3%, to $37.4 million in the third quarter of 2025, compared to $31.1 million in the third quarter of 2024. As a result of the increase in adjusted net income as well as a reduction in diluted shares outstanding resulting from share repurchases made under our share repurchase plan, adjusted diluted earnings per share increased to $2.10 for the third quarter of 2025 compared to $1.68 for the third quarter of 2024.</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Nine Months Ended September 30, 2025 Compared to Nine Months Ended September 30,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nine months ended September 30, 2025 and 2024 were as follows:</w:t>
      </w:r>
    </w:p>
    <w:tbl>
      <w:tblPr>
        <w:tblW w:w="10058"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$132.9 million, or 12.1%, to $1.23 billion for the first nine months of 2025 from $1.10 billion for the first nine months of 2024. The overall increase in revenues before reimbursable expenses reflects continued strength in demand for our Consulting and Managed Services capabilities within our Healthcare and Education segments and our Digital capabilities within our Commercial and Education segments. The increase includes $58.7 million of incremental revenues before reimbursable expenses from our acquisitions completed since the first quarter of 2024. These increases were partially offset by decreases in demand for our Consulting and Managed Services capability within our Commercial segment and our Digital capability within our Healthcare segment. Excluding the $58.7 million of incremental revenues before reimbursable expenses from our acquisitions and $10.3 million of revenues before reimbursable expenses in the first nine months of 2024 generated by the Studer Education business, which we divested at the end of 2024, revenues before reimbursable expenses grew 7.8% organically. Additional information on our revenues before reimbursable expenses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before reimbursable expenses increased $61.9 million, or 11.2%, driven by continued strength in demand for our performance improvement, financial advisory, revenue cycle managed services, and strategy and innovation solutions within our Consulting and Managed Services capability. These increases were partially offset by a decrease in revenues before reimbursable expenses due to the divestiture of our Studer Education practice in the fourth quarter of 2024 and a decrease in revenues before reimbursable expenses for our technology and analytics services within our Digital capability. The Studer Education business generated $10.3 million of revenues before reimbursable expenses in the first nine months of 2024. Revenues before reimbursable expenses in the first nine months of 2025 included $7.2 million of incremental revenues from our acquisitions of Eclipse Insights and AXIA Consulting.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excluding Managed Services professionals, within our Healthcare segment grew 17.1% to 1,428 as of September 30, 2025, compared to 1,219 as of September 30, 2024. Our acquisition of Eclipse Insights in June 2025 added approximately 40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revenues before reimbursable expenses increased $26.1 million, or 7.3%, driven by strengthened demand for our strategy and operations and research solutions within our Consulting and Managed Services capability and our software products and technology and analytics services within our Digital capability, as well as $8.3 million of incremental revenues before reimbursable expenses from our acquisitions of Advancement Resources, GG+A, AXIA Consulting, and Halpin.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Education segment, excluding Managed Services professionals, grew 3.4% to 1,166 as of September 30, 2025, compared to 1,128 as of September 30, 2024. Our acquisitions of Advancement Resources and Halpin in March 2025 added approximately 30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revenues before reimbursable expenses increased $44.9 million, or 23.9%, which reflects $43.1 million of incremental revenues before reimbursable expenses from our acquisitions of AXIA Consulting, Treliant, and WP&amp;C and continued strength in demand for our technology and analytics services within our Digital capability. These increases were partially offset by decreases in demand for our financial advisory and strategy and innovation solutions within our Consulting and Managed Services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Commercial segment, the majority of which provide services across all of our industries, grew 20.2% to 2,650 as of September 30, 2025, compared to 2,204 as of September 30, 2024. Our acquisition of AXIA Consulting in December 2024 added approximately 130 revenue-generating professionals, and the acquisitions of Treliant and WP&amp;C in the third quarter of 2025 added approximately 210 revenue-generating professionals.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first nine months of 2025 increased $128.1 million, or 12.8%, over the first nine months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424"/>
        <w:gridCol w:w="1251"/>
        <w:gridCol w:w="1258"/>
        <w:gridCol w:w="109"/>
        <w:gridCol w:w="109"/>
        <w:gridCol w:w="109"/>
        <w:gridCol w:w="196"/>
        <w:gridCol w:w="871"/>
        <w:gridCol w:w="109"/>
        <w:gridCol w:w="109"/>
        <w:gridCol w:w="109"/>
        <w:gridCol w:w="109"/>
        <w:gridCol w:w="155"/>
        <w:gridCol w:w="155"/>
        <w:gridCol w:w="157"/>
        <w:gridCol w:w="109"/>
        <w:gridCol w:w="109"/>
        <w:gridCol w:w="109"/>
        <w:gridCol w:w="196"/>
        <w:gridCol w:w="871"/>
        <w:gridCol w:w="109"/>
        <w:gridCol w:w="109"/>
        <w:gridCol w:w="109"/>
        <w:gridCol w:w="109"/>
        <w:gridCol w:w="159"/>
        <w:gridCol w:w="159"/>
        <w:gridCol w:w="160"/>
        <w:gridCol w:w="109"/>
        <w:gridCol w:w="109"/>
        <w:gridCol w:w="109"/>
        <w:gridCol w:w="241"/>
        <w:gridCol w:w="905"/>
        <w:gridCol w:w="19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39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86,117 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1,128,794 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128,072 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$86.1 million, or 11.5%, to $835.9 million for the first nine months of 2025 from $749.8 million for the first nine months of 2024. The $86.1 million increase primarily related to a $72.3 million increase in compensation costs for our revenue-generating professionals, a $9.2 million increase in contractor expenses, a $2.7 million increase in technology costs, and a $1.6 million increase in project costs. The increase in compensation costs reflects our investment to grow our talented team to meet increased market demand and is primarily attributable to a $58.3 million increase in salaries and related expenses driven by increased headcount and annual salary increases that went into effect in the first quarter of 2025, a $10.0 million increase in performance bonus expense, a $2.5 million increase in signing, retention and other bonus expense, and a $1.5 million increase in share-based compensation expense. As a percentage of revenues before reimbursable expenses, direct costs decreased to 67.9% during the first nine months of 2025, compared to 68.3% during the first nine months of 2024. This decrease was primarily due to revenue growth that outpaced the increase in compensation costs for our revenue-generating professionals; partially offset by an increase in contractor expenses,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$23.7 million, or 11.0%, to $238.1 million in the first nine months of 2025 from $214.5 million in the first nine months of 2024. The $23.7 million increase includes an $11.8 million increase in compensation costs for our support personnel, a $5.5 million increase in software and data hosting expenses, a $2.5 million increase in third-party professional fees, a $2.2 million increase in promotion and marketing expenses, and a $1.5 million increase in severance expenses; partially offset by a $2.7 million decrease in bad debt expense, and a $1.4 million decrease in legal expenses. The $11.8 million increase in compensation costs for our support personnel was driven by a $9.7 million increase in salaries and related expenses and a $2.4 million increase in performance bonus expense. As a percentage of revenues before reimbursable expenses, selling, general and administrative expenses decreased to 19.4% during the first nine months of 2025, compared to 19.5% during the first nine months of 2024, which was primarily due to revenue growth that outpaced the increase in compensation costs for our support personnel; largely offset by an increase in software and data hosting expenses,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Other Gains,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 totaled $0.1 million in the first nine months of 2025 and $14.5 million in the first nine months of 2024. The $0.1 million of other gains, net in the first nine months of 2025 consisted of a remeasurement gain to decrease the fair value of a contingent consideration liability related to a business combination. The $14.5 million of other gains, net in the first nine months of 2024 primarily consisted of a $15.0 million pre-tax litigation settlement gain for a completed legal matter in which Huron was the plaintiff.</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11 “Fair Value of Financial Instruments” within the notes to our consolidated financial statements for additional information on the fair value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first nine months of 2025 were $5.4 million, compared to $7.5 million for the first nine months of 2024. The $5.4 million of restructuring charges recognized in the first nine months of 2025 primarily consisted of $1.9 million rent and related expenses, net of sublease income, for our previously vacated office spaces; $1.7 million of severance-related expenses; $1.1 million of accelerated depreciation and amortization on the related fixed assets and right-of-use operating lease assets recognized when we exited our office space in Pensacola, Florida; and a $0.7 million non-cash lease impairment charge driven by updated sublease assumptions for a previously vacated office space.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$7.5 million of restructuring charges recognized in the first nine months of 2024 included $2.3 million of severance-related expenses; $1.7 million of rent and related expenses, net of sublease income, for previously vacated office spaces; a $1.4 million non-cash lease impairment charge on the right-of-use operating lease asset and fixed assets of the exited office space previously occupied by GG+A; a $1.2 million non-cash impairment charge on the related right-of-use operating lease asset and fixed assets for a portion of our New York, New York office space that we exited during the third quarter of 2024; and $0.8 million related to non-cash lease impairment charges driven by updated sublease assumptions for our previously vacated office spaces.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$4.5 million, or 24.5%, to $22.8 million for the first nine months of 2025, compared to $18.3 million for the first nine months of 2024. The $4.5 million increase in depreciation and amortization expense was primarily attributable to increases in amortization of intangible assets acquired in business acquisitions and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$6.6 million, or 5.4%, to $128.4 million in the first nine months of 2025 from $121.8 million in the first nine months of 2024. Operating margin, which is defined as operating income expressed as a percentage of revenues before reimbursable expenses, decreased to 10.4% for the first nine months of 2025, compared to 11.1% for the first nine months of 2024.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Operating income and operating margin for each of our segments as well as unallocated corporate expenses were as follows:</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36,133 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$36.1 million, or 24.5%, primarily due to the increase in revenues before reimbursable expenses, as well as decreases in salaries and related expenses for our support personnel, bad debt expense, and practice administration and meeting expenses; partially offset by increases in compensation costs for our revenue-generating professionals, technology costs, and contractor expenses. The increases in compensation costs for our revenue-generating professionals were primarily driven by an increase in headcount and annual salary increases that went into effect in the first quarter of 2025, as well as increases in performance bonus expense, share-based compensation expense, and signing, retention and other bonus expense. Healthcare operating margin increased to 29.8% from 26.6% primarily due to revenue growth that outpaced the increase in salaries and related expenses for our revenue-generating professionals and the decrease in salaries and related expenses for our support personnel.</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$6.7 million, or 8.2%, primarily due to the increase in revenues before reimbursable expenses; partially offset by increases in compensation costs for our revenue-generating professionals and support personnel, amortization of internally developed software, contractor expenses, practice administration and meeting expenses, project costs, and promotion and marketing expenses. The increases in compensation costs for our revenue-generating professionals and support personnel were primarily driven by an increase in headcount and annual salary increases that went into effect in the first quarter of 2025. Education operating margin increased to 23.2% from 23.0% primarily due to revenue growth that outpaced the compensation costs for our revenue-generating professionals; largely offset by the increases in compensation costs for our support personnel, amortization of internally developed software, contractor expenses, and practice administration and meeting expenses, as percentages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operating income decreased $1.7 million, or 4.4%, primarily due to increases in compensation costs for our revenue-generating professionals and support personnel and contractor expenses; largely offset by the increase in revenues before reimbursable expense. The increase in compensation costs for our revenue-generating professionals and support personnel was primarily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increased headcount, driven by our acquisitions of AXIA Consulting and Treliant, and annual salary increases that went into effect in the first quarter of 2025, as well as increases in performance bonus expense and signing, retention and other bonus expense for our revenue-generating professionals; partially offset by a decrease in share-based compensation expense for our revenue-generating professionals. Commercial operating margin decreased to 16.1% from 20.8% primarily due to the increases in salaries and related expenses for our revenue-generating professionals and contractor expenses, as percentages of revenues before reimbursable expenses; partially offset by revenue growth that outpaced the increase in performance bonus expense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Unallocated corporate expenses </w:t>
      </w:r>
      <w:r>
        <w:rPr>
          <w:rFonts w:ascii="Arial Narrow;sans-serif" w:hAnsi="Arial Narrow;sans-serif"/>
          <w:b w:val="false"/>
          <w:color w:val="000000"/>
          <w:sz w:val="20"/>
        </w:rPr>
        <w:t>increased $19.8 million, or 13.8%, primarily due to increases in compensation costs for our support personnel, software and data hosting expenses, third-party professional fees, and practice administration and meeting expenses; partially offset by a decrease in legal expenses. The increase in compensation costs for our support personnel was primarily driven by an increase in headcount and annual salary increases that went into effect in the first quarter of 2025, as well as an increase in performance bonus expense.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$6.0 million to $25.9 million in the first nine months of 2025 from $19.9 million in the first nine months of 2024, which was primarily attributable to higher levels of borrowing and higher interest rates under our senior secured credit facility during the first nine months of 2025 compared to the first nine months of 2024. See “Liquidity and Capital Resources” below and Note 8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 totaled expense of $10.6 million in the first nine months of 2025, compared to income of $5.4 million in the first nine months of 2024. In the first nine months of 2025, we recognized a pre-tax $11.1 million non-cash credit-related impairment charge related to our convertible debt investment in a third-party, and non-cash impairment charges of $5.0 million on our equity investment in a hospital-at-home company; partially offset by a $5.0 million gain recognized for the market value of our investments that are used to fund our deferred compensation liability and $0.4 million of foreign currency transaction gains. In the first nine months of 2024, we recognized a $5.0 million gain for the market value of our deferred compensation investments and $0.3 million of foreign currency transaction gains.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 See Note 10 “Fair Value of Financial Instruments” within the notes to our consolidated financial statements for additional information on our convertible debt and equity investments. See Note 9 “Derivative Instruments and Hedging Activity” within the notes to our consolidated financial statements for additional information on our foreign exchange forward contracts.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nine months ended September 30, 2025, our effective tax rate was 19.0% as we recognized income tax expense of $17.4 million on income of $91.8 million. The effective tax rate of 19.0% was more favorable than the statutory rate, inclusive of state income taxes, of 26.0%, primarily due to a discrete tax benefit for share-based compensation awards that vested during the first quarter of 2025. This favorable item was partially offset by the establishment of a valuation allowance for deferred tax assets recorded primarily as the result of the capital loss on our investment in a hospital-at-home company and certain nondeductible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2024, our effective tax rate was 22.9% as we recognized income tax expense of $24.6 million on income of $107.2 million. The effective tax rate of 22.9%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decreased $8.3 million, or 10.0%, to $74.4 million for the nine months ended September 30, 2025 from $82.6 million for the same period last year, driven by the $11.1 million litigation settlement gain, net of tax, recognized in the second quarter 2024 related to a completed legal matter in which Huron was the plaintiff and the $8.2 million non-cash credit-related impairment charge, net of tax, recognized in the second quarter of 2025 related to our convertible debt investment in a third-party; partially offset by the increases in Healthcare and Education segment operating income. Diluted earnings per share for the nine months ended September 30, 2025 decreased to $4.13 compared to $4.43 for the nine months ended September 30, 2024; driven by the decrease in net income, partially offset by a reduction in diluted shares outstanding resulting from share repurchases made under our share repurchase plan. The non-cash credit-related impairment charge on our convertible debt investment had an unfavorable $0.46 impact on diluted EPS during the first nine months of 2025, while the litigation settlement gain related to a completed legal matter in which Huron was the plaintiff had a favorable $0.59 impact on diluted EPS for the prior year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decreased $4.9 million, or 3.4%, to $141.2 million for the nine months ended September 30, 2025 from $146.1 million for the nine months ended September 30, 2024. The decrease in EBITDA was primarily attributable to the increase in unallocated corporate expenses, excluding the impact of the change in the market value of our deferred compensation liability; the pre-tax $15.0 million litigation settlement gain recognized in the second quarter of 2024 for a completed legal matter in which Huron was the plaintiff; the pre-tax $11.1 million non-cash credit-related impairment charge recognized in the second quarter of 2025 related to our convertible debt investment in a third-party; and the $5.0 million of non-cash impairment charges recognized on our equity investment in a hospital-at-home company in the first nine months of 2025. These decreases were partially offset by the increases in Healthcare and Education segment operating income, excluding segment depreciation and amortization.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$25.1 million, or 17.4%, to $169.5 million in the first nine months of 2025 from $144.4 million in the first nine months of 2024. The increase in adjusted EBITDA was primarily attributable to the increases in Healthcare and Education segment operating income, excluding segment depreciation and amortization and segment restructuring charges; partially offset by the increase in unallocated corporate expenses, excluding the impacts of the change in the market value of our deferred compensation liability and transaction-related expenses, and the decrease in Commercial segment operating income, excluding segment depreciation and amortization and segment restructuring charges.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$16.9 million, or 19.8%, to $102.1 million in the first nine months of 2025 compared to $85.3 million in the first nine months of 2024. As a result of the increase in adjusted net income as well as a reduction in diluted shares outstanding resulting from share repurchases made under our share repurchase plan, adjusted diluted earnings per share increased to $5.67 for the nine months ended September 30, 2025, compared to $4.57 for the nine months ended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were $23.9 million and $21.9 million at September 30, 2025 and December 31, 2024, respectively. As of September 30, 2025, our primary sources of liquidity are cash on hand, cash flows from our U.S. operations, and borrowing capacity available under our credit facility.</w:t>
      </w:r>
    </w:p>
    <w:tbl>
      <w:tblPr>
        <w:tblW w:w="6201" w:type="dxa"/>
        <w:jc w:val="center"/>
        <w:tblInd w:w="0" w:type="dxa"/>
        <w:tblLayout w:type="fixed"/>
        <w:tblCellMar>
          <w:top w:w="28" w:type="dxa"/>
          <w:left w:w="28" w:type="dxa"/>
          <w:bottom w:w="28" w:type="dxa"/>
          <w:right w:w="28" w:type="dxa"/>
        </w:tblCellMar>
      </w:tblPr>
      <w:tblGrid>
        <w:gridCol w:w="1302"/>
        <w:gridCol w:w="1148"/>
        <w:gridCol w:w="1150"/>
        <w:gridCol w:w="109"/>
        <w:gridCol w:w="109"/>
        <w:gridCol w:w="109"/>
        <w:gridCol w:w="196"/>
        <w:gridCol w:w="646"/>
        <w:gridCol w:w="109"/>
        <w:gridCol w:w="109"/>
        <w:gridCol w:w="109"/>
        <w:gridCol w:w="109"/>
        <w:gridCol w:w="196"/>
        <w:gridCol w:w="64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cash provided by operating activities increased by $5.3 million to $67.0 million for the nine months ended September 30, 2025 from $61.7 million for the nine months ended September 30, 2024. The increase in net cash provided by operating activities was primarily related to an increase in cash collections in the first nine months of 2025; partially offset by an increase in payments for salaries and related expenses for our revenue-generating professionals, an increase in payments for selling, general and administrative expenses, a $15 million litigation settlement received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2024 for a completed legal matter in which Huron was the plaintiff, an increase in the amount paid for annual performance bonuses in the first quarter of 2025 compared to the first quarter of 2024, and an increase in payments for contractor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an equity investment in a hospital-at-home company, and investments in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$133.2 million for the nine months ended September 30, 2025, which primarily consisted of $107.2 million for purchases of businesses; $15.4 million for payments related to internally developed software to advance our Education and Healthcare software products; $7.9 million for purchases of property and equipment, primarily related to purchases of computers and related equipment and leasehold improvements for certain office spaces; and $2.9 million for contributions to our life insurance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$48.0 million for the nine months ended September 30, 2024, which primarily consisted of $20.8 million for purchases of businesses; $19.3 million for payments related to internally developed software to advance our Healthcare and Education software products; $6.0 million for purchases of property and equipment, primarily related to purchases of computers and related equipment and leasehold improvements for certain office spaces; and $2.2 million for contributions to our life insurance policies.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2025 will total approximately $30 million to $35 million; primarily consisting of software development costs, information technology-related equipment to support our corporate infrastructure, and leasehold improvements and furniture and fixtures for certain office locations.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$68.2 million for the nine months ended September 30, 2025. The net borrowings of $253.3 million during the first nine months of 2025 were primarily used to fund our operations, including our annual performance bonus payments in the first quarter of 2025, and our programmatic business acquisitions. The aggregate borrowings and repayments during the first nine months of 2025 include the $400 million term loan proceeds received in the third quarter of 2025 under the Fourth Amended and Restated Credit Agreement (the “Amended Credit Agreement”), which were used to repay outstanding borrowings under the Third Amended and Restated Credit Agreement (the “Existing Credit Agreement”). In conjunction with the closing of the Amended Credit Agreement, we paid $3.1 million of debt issuance costs. See “Financing Arrangements” below for additional information on the Amended Credit Agreement. Additionally, during the first nine months of 2025, we paid $153.1 million for the settlement of share repurchases and we reacquired $33.0 million of common stock as a result of tax withholdings upon vesting of share-based compensation. These uses of cash for financing activities were partially offset by $4.1 million of cash received from stock option exercises in the first nine months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$7.3 million for the nine months ended September 30, 2024. During the nine months ended September 30, 2024, we borrowed $682.5 million and made repayments on our borrowings of $563.4 million. The borrowings and repayments during the first nine months of 2024 include the $275.0 million term loan proceeds received in the first quarter of 2024, which were used to repay borrowings under the revolver. The net borrowings of $119.1 million were primarily used to fund our operations including our annual performance bonus payments in the first quarter of 2024. Additionally, during the first nine months of 2024, we paid $104.6 million for the settlement of share repurchases and we reacquired $21.5 million of common stock as a result of tax withholdings upon vesting of share-based compensation. We also made payments of $1.4 million for debt issuance costs. These uses of cash for financing activities were partially offset by $1.6 million of cash received from stock option exercises in the first nine months of 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2025. The current authorization extends the share repurchase program through December 31, 2026 with a repurchase amount of $700 million, of which $112.6 million remains available as of September 30, 2025.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September 30, 2025, we had $611.0 million outstanding under the Amended Credit Agreement, as discussed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$700 million senior secured revolving credit facility (the “Revolver”) and a $400 million senior secured term loan facility (the “Term Loan”), subject to the terms of the Amended Credit Agreement, both of which mature on July 30, 2030. The Term Loan is subject to scheduled quarterly amortization payments of $5.0 million which began September 30, 2025 and continue through the maturity date of July 30, 2030, at which time the outstanding principal balance and all accrued interest will be due. The Amended Credit Agreement amended and restated the Existing Credit Agreement in its entirety.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Fees and interest on borrowings under the Amended Credit Agreement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2025 and December 31, 2024, we were in compliance with these financial covenants. Our Consolidated Leverage Ratio as of September 30, 2025 was 2.30 to 1.00, compared to 1.39 to 1.00 as of December 31, 2024. Our Consolidated Interest Coverage Ratio as of September 30, 2025 was 8.86 to 1.00, compared to 10.50 to 1.00 as of December 31,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September 30, 2025 totaled $611.0 million, consisting of $216.0 million outstanding under the Revolver and $395.0 million outstanding under the Term Loan.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Existing Credit Agreement at December 31, 2024 totaled $357.7 million, consisting of $93.0 million outstanding under the senior secured revolving credit facility of the Existing Credit Agreement and $264.7 million outstanding under the senior secured term loan facility of the Existing Credit Agreement.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These borrowings carried a weighted average interest rate of 5.6% at September 30, 2025 and 4.7% at December 31, 2024, including the impact of the interest rate swaps described in Note 10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September 30, 2025, we had outstanding letters of credit totaling $0.4 million, which are used as security deposits for our office facilities. As of September 30, 2025, the unused borrowing capacity under the Revolver was $483.6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8 “Financing Arrangements” within the notes to the consolidated financial statements for additional information on the Amended Credit Agreement.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2024. There have been no material changes to our critical accounting policies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“New Accounting Pronouncements”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250"/>
        <w:gridCol w:w="219"/>
        <w:gridCol w:w="221"/>
        <w:gridCol w:w="1752"/>
        <w:gridCol w:w="1752"/>
        <w:gridCol w:w="248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senior secured credit facility. At our option, these borrowings bear interest at one, three or six month Term SOFR or an alternate base rate, in each case plus the applicable margin. At September 30, 2025, we had borrowings outstanding under the Amended Credit Agreement totaling $611.0 million that carried a weighted average interest rate of 5.6%, including the impact of the interest rate swaps described below. A hypothetical 100 basis point change in the interest rate would have a $3.6 million effect on our pretax income on an annualized basis, including the effect of the interest rate swaps. At December 31, 2024, we had borrowings outstanding under the Existing Credit Agreement totaling $357.7 million that carried a weighted average interest rate of 4.7% including the impact of the interest rate swaps described below. A hypothetical 100 basis point change in the interest rate would have had a $1.1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September 30, 2025 and December 31, 2024, the aggregate notional amount of our forward interest rate swap agreements was $250.0 million. The outstanding interest rate swap agreements as of September 30, 2025 are scheduled to mature on a staggered basis through February 28, 2030.</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Foreign Currency Risk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exposure to changes in foreign currency exchange rates associated with our operations in India and Canada. We hedge a portion of our cash flow exposure related to our INR-denominated intercompany expenses and our translation risk related to our USD-denominated intercompany receivables in Canada by entering into foreign exchange forward contracts. </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As of September 30, 2025 and December 31, 2024, the aggregate notional amounts of these contracts were Indian Rupee (INR) 1.45 billion, or $16.3 million, and Indian Rupee (INR) 1.40 billion, or $16.3 million, respectively, based on the exchange rates in effect as of each period end. The outstanding foreign exchange forward contracts as of September 30, 2025 are scheduled to mature monthly through August 31, 2026.</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As of September 30, 2025, the notional amount of our outstanding Canadian Dollar forward contract was $25.0 million which is scheduled to settle on December 31, 2025. We had no outstanding Canadian Dollar forward contracts as of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exchange forward contract portfolio. The sensitivity of the portfolio is computed based on the market value of future cash flows as affected by changes in exchange rates. This sensitivity analysis represents the hypothetical changes in value of the derivatives and does not reflect the offsetting gain or loss on the underlying exposure. A hypothetical 100 basis point change in the USD to INR and USD to CAD exchange rates would have an immaterial impact on the fair value of our derivative instruments as of September 30, 2025 and December 31,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To the extent any decrease in fair value is the result of a credit impairment - calculated as the difference between the present value of expected cash flows to be generated from the investment and the cost basis, limited to the difference between the fair value and cost basis - such credit impairment charge is recorded to other income (expense), net in our consolidated statement of operations. As of September 30, 2025, the fair value of the investment was $32.8 million with a total cost basis of $40.9 million. The fair value of $32.8 million as of September 30, 2025 includes a non-cash credit-related impairment charge of $11.1 million. At December 31, 2024, the fair value of the investment was $62.3 million, with a total cost basis of $40.9 million.The decrease in fair value in the first nine months of 2025 was driven by a decrease in the projected cash flows of Shorelight, which reflects the current federal regulatory environment in which Shorelight operates.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an equity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September 30, 2025 and December 31, 2024, the carrying value of the investment was $2.4 million and $7.4 million, respectively, with a total cost basis of $5.0 million. In the first quarter of 2025, we recognized a non-cash impairment charge of $4.2 million on our investment based on the valuation anticipated from the hospital-at-home company's merger with a third-party.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11 “Fair Value of Financial Instruments” within the notes to our consolidated financial statements for additional information on these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10 “Derivative Instruments and Hedging Activity” within the notes to our consolidated financial statements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0" w:type="dxa"/>
        <w:jc w:val="left"/>
        <w:tblInd w:w="0" w:type="dxa"/>
        <w:tblLayout w:type="fixed"/>
        <w:tblCellMar>
          <w:top w:w="28" w:type="dxa"/>
          <w:left w:w="28" w:type="dxa"/>
          <w:bottom w:w="28" w:type="dxa"/>
          <w:right w:w="28" w:type="dxa"/>
        </w:tblCellMar>
      </w:tblPr>
      <w:tblGrid>
        <w:gridCol w:w="250"/>
        <w:gridCol w:w="219"/>
        <w:gridCol w:w="221"/>
        <w:gridCol w:w="790"/>
        <w:gridCol w:w="790"/>
        <w:gridCol w:w="112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2025. Based on this evaluation, our Chief Executive Officer and Chief Financial Officer have concluded that, as of September 30, 2025,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Part 1, Item 1A, “Risk Factors” in our Annual Report on Form 10-K for the fiscal year ended December 31, 2024 (the "2024 Form 10-K"), which was filed with the Securities and Exchange Commission on February 25, 2025, for a complete description of the material risks we face. There have been no material changes to the Company’s risk factors since the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90" w:type="dxa"/>
        <w:jc w:val="left"/>
        <w:tblInd w:w="0" w:type="dxa"/>
        <w:tblLayout w:type="fixed"/>
        <w:tblCellMar>
          <w:top w:w="28" w:type="dxa"/>
          <w:left w:w="28" w:type="dxa"/>
          <w:bottom w:w="28" w:type="dxa"/>
          <w:right w:w="28" w:type="dxa"/>
        </w:tblCellMar>
      </w:tblPr>
      <w:tblGrid>
        <w:gridCol w:w="250"/>
        <w:gridCol w:w="219"/>
        <w:gridCol w:w="221"/>
        <w:gridCol w:w="1757"/>
        <w:gridCol w:w="1757"/>
        <w:gridCol w:w="248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September 1, 2025, as partial consideration for our acquisition of WP&amp;C, we issued 47,625 shares of our common stock, par value $0.01 per share, with an aggregate value of $6.2 million. The issuance was exempt from registration under Section 4(a)(2) of the Securities Act of 1933, as amended, as a transaction by an issuer not involving a public offering.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September 30, 2025, we reacquired 3,413 shares of common stock with a weighted average fair market value of $136.87 as a result of such tax withholdings.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2025. The current authorization extends the share repurchase program through December 31, 2026 with a repurchase amount of $700 million, of which $112.6 million remains available as of September 30, 2025.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with respect to purchases we made of our common stock during the quarter ended September 30, 2025.</w:t>
      </w:r>
    </w:p>
    <w:tbl>
      <w:tblPr>
        <w:tblW w:w="10205" w:type="dxa"/>
        <w:jc w:val="center"/>
        <w:tblInd w:w="0" w:type="dxa"/>
        <w:tblLayout w:type="fixed"/>
        <w:tblCellMar>
          <w:top w:w="28" w:type="dxa"/>
          <w:left w:w="28" w:type="dxa"/>
          <w:bottom w:w="28" w:type="dxa"/>
          <w:right w:w="28" w:type="dxa"/>
        </w:tblCellMar>
      </w:tblPr>
      <w:tblGrid>
        <w:gridCol w:w="888"/>
        <w:gridCol w:w="621"/>
        <w:gridCol w:w="624"/>
        <w:gridCol w:w="109"/>
        <w:gridCol w:w="109"/>
        <w:gridCol w:w="109"/>
        <w:gridCol w:w="730"/>
        <w:gridCol w:w="680"/>
        <w:gridCol w:w="682"/>
        <w:gridCol w:w="109"/>
        <w:gridCol w:w="109"/>
        <w:gridCol w:w="109"/>
        <w:gridCol w:w="256"/>
        <w:gridCol w:w="846"/>
        <w:gridCol w:w="144"/>
        <w:gridCol w:w="109"/>
        <w:gridCol w:w="109"/>
        <w:gridCol w:w="109"/>
        <w:gridCol w:w="510"/>
        <w:gridCol w:w="510"/>
        <w:gridCol w:w="511"/>
        <w:gridCol w:w="109"/>
        <w:gridCol w:w="109"/>
        <w:gridCol w:w="109"/>
        <w:gridCol w:w="264"/>
        <w:gridCol w:w="1418"/>
        <w:gridCol w:w="213"/>
      </w:tblGrid>
      <w:tr>
        <w:trPr/>
        <w:tc>
          <w:tcPr>
            <w:tcW w:w="88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bidi w:val="0"/>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2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3,785 </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131,251,369 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146,142 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146,014 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112,589,326 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112,589,326 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149,927 </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146,514 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3,285 shares in July 2025 and 128 shares in August 2025 to satisfy employee tax withholding requirements. These shares do not reduce the repurchase authority under the share repurchase program.</w:t>
      </w:r>
    </w:p>
    <w:p>
      <w:pPr>
        <w:pStyle w:val="TextBody"/>
        <w:bidi w:val="0"/>
        <w:spacing w:lineRule="auto" w:line="288" w:before="6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60" w:type="dxa"/>
        <w:jc w:val="left"/>
        <w:tblInd w:w="0" w:type="dxa"/>
        <w:tblLayout w:type="fixed"/>
        <w:tblCellMar>
          <w:top w:w="28" w:type="dxa"/>
          <w:left w:w="28" w:type="dxa"/>
          <w:bottom w:w="28" w:type="dxa"/>
          <w:right w:w="28" w:type="dxa"/>
        </w:tblCellMar>
      </w:tblPr>
      <w:tblGrid>
        <w:gridCol w:w="250"/>
        <w:gridCol w:w="219"/>
        <w:gridCol w:w="221"/>
        <w:gridCol w:w="958"/>
        <w:gridCol w:w="958"/>
        <w:gridCol w:w="13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4" w:type="dxa"/>
        <w:jc w:val="left"/>
        <w:tblInd w:w="0" w:type="dxa"/>
        <w:tblLayout w:type="fixed"/>
        <w:tblCellMar>
          <w:top w:w="28" w:type="dxa"/>
          <w:left w:w="28" w:type="dxa"/>
          <w:bottom w:w="28" w:type="dxa"/>
          <w:right w:w="28" w:type="dxa"/>
        </w:tblCellMar>
      </w:tblPr>
      <w:tblGrid>
        <w:gridCol w:w="250"/>
        <w:gridCol w:w="219"/>
        <w:gridCol w:w="221"/>
        <w:gridCol w:w="574"/>
        <w:gridCol w:w="574"/>
        <w:gridCol w:w="8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third quarter of 2025, none of our officers or directors adopted, modified, or terminated contracts, instructions or written plans for the sale or purchase of our securities intended to satisfy the affirmative defense condition of Rule 10b5-1(c) or adopted, modified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6" w:type="dxa"/>
        <w:jc w:val="left"/>
        <w:tblInd w:w="0" w:type="dxa"/>
        <w:tblLayout w:type="fixed"/>
        <w:tblCellMar>
          <w:top w:w="28" w:type="dxa"/>
          <w:left w:w="28" w:type="dxa"/>
          <w:bottom w:w="28" w:type="dxa"/>
          <w:right w:w="28" w:type="dxa"/>
        </w:tblCellMar>
      </w:tblPr>
      <w:tblGrid>
        <w:gridCol w:w="250"/>
        <w:gridCol w:w="219"/>
        <w:gridCol w:w="221"/>
        <w:gridCol w:w="277"/>
        <w:gridCol w:w="277"/>
        <w:gridCol w:w="39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bidi w:val="0"/>
        <w:spacing w:lineRule="auto" w:line="288" w:before="80" w:after="283"/>
        <w:jc w:val="left"/>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242"/>
        <w:gridCol w:w="213"/>
        <w:gridCol w:w="215"/>
        <w:gridCol w:w="109"/>
        <w:gridCol w:w="109"/>
        <w:gridCol w:w="109"/>
        <w:gridCol w:w="1251"/>
        <w:gridCol w:w="1158"/>
        <w:gridCol w:w="1123"/>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2"/>
        <w:gridCol w:w="162"/>
        <w:gridCol w:w="235"/>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hurn2025930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930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930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930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885da3a255b45d5907e76286ff5c0ad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color w:val="000000"/>
        </w:rPr>
      </w:pPr>
      <w:r>
        <w:rPr>
          <w:color w:val="000000"/>
        </w:rPr>
        <w:t> </w:t>
      </w:r>
    </w:p>
    <w:tbl>
      <w:tblPr>
        <w:tblW w:w="5303" w:type="dxa"/>
        <w:jc w:val="left"/>
        <w:tblInd w:w="0" w:type="dxa"/>
        <w:tblLayout w:type="fixed"/>
        <w:tblCellMar>
          <w:top w:w="28" w:type="dxa"/>
          <w:left w:w="28" w:type="dxa"/>
          <w:bottom w:w="28" w:type="dxa"/>
          <w:right w:w="28" w:type="dxa"/>
        </w:tblCellMar>
      </w:tblPr>
      <w:tblGrid>
        <w:gridCol w:w="184"/>
        <w:gridCol w:w="162"/>
        <w:gridCol w:w="164"/>
        <w:gridCol w:w="449"/>
        <w:gridCol w:w="449"/>
        <w:gridCol w:w="451"/>
        <w:gridCol w:w="109"/>
        <w:gridCol w:w="109"/>
        <w:gridCol w:w="109"/>
        <w:gridCol w:w="109"/>
        <w:gridCol w:w="109"/>
        <w:gridCol w:w="109"/>
        <w:gridCol w:w="817"/>
        <w:gridCol w:w="817"/>
        <w:gridCol w:w="1156"/>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October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September 30, 2025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September 30, 2025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32294</Words>
  <Characters>185403</Characters>
  <CharactersWithSpaces>215620</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